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AE0" w:rsidRPr="003E7E2E" w:rsidRDefault="003E7E2E" w:rsidP="0053766E">
      <w:pPr>
        <w:rPr>
          <w:b/>
          <w:sz w:val="32"/>
          <w:szCs w:val="32"/>
        </w:rPr>
      </w:pPr>
      <w:r>
        <w:tab/>
      </w:r>
      <w:r>
        <w:tab/>
      </w:r>
      <w:r w:rsidRPr="003E7E2E">
        <w:rPr>
          <w:b/>
          <w:sz w:val="32"/>
          <w:szCs w:val="32"/>
        </w:rPr>
        <w:t xml:space="preserve">Извещение на реализацию сульфата железа от 05.02.2024г. </w:t>
      </w:r>
    </w:p>
    <w:p w:rsidR="003E7E2E" w:rsidRDefault="003E7E2E" w:rsidP="0053766E">
      <w:r>
        <w:tab/>
      </w:r>
    </w:p>
    <w:p w:rsidR="00E81CC3" w:rsidRDefault="003E7E2E" w:rsidP="0053766E">
      <w:r>
        <w:tab/>
        <w:t>А</w:t>
      </w:r>
      <w:r w:rsidR="0053766E">
        <w:t>О «БСК</w:t>
      </w:r>
      <w:r w:rsidR="00F12AA1">
        <w:t xml:space="preserve">» </w:t>
      </w:r>
      <w:r>
        <w:t>реализовывает</w:t>
      </w:r>
      <w:r w:rsidR="00F12AA1">
        <w:t xml:space="preserve"> </w:t>
      </w:r>
      <w:r>
        <w:rPr>
          <w:color w:val="000000"/>
        </w:rPr>
        <w:t>сульфата железа – некондиционный (</w:t>
      </w:r>
      <w:r>
        <w:t xml:space="preserve">реагент спрессовался, </w:t>
      </w:r>
      <w:proofErr w:type="spellStart"/>
      <w:r w:rsidRPr="00A50FD3">
        <w:t>скомковался</w:t>
      </w:r>
      <w:proofErr w:type="spellEnd"/>
      <w:r w:rsidRPr="00A50FD3">
        <w:t xml:space="preserve">, </w:t>
      </w:r>
      <w:r>
        <w:t>обветрился, окислился и</w:t>
      </w:r>
      <w:r w:rsidRPr="00A50FD3">
        <w:t xml:space="preserve"> загрязнился механическим мусором</w:t>
      </w:r>
      <w:r>
        <w:t>) в количестве 159 тонн.</w:t>
      </w:r>
    </w:p>
    <w:p w:rsidR="00BF3284" w:rsidRPr="00E81CC3" w:rsidRDefault="00E81CC3" w:rsidP="00C105D5">
      <w:pPr>
        <w:rPr>
          <w:color w:val="000000" w:themeColor="text1"/>
        </w:rPr>
      </w:pPr>
      <w:r w:rsidRPr="00E81CC3">
        <w:rPr>
          <w:color w:val="000000" w:themeColor="text1"/>
        </w:rPr>
        <w:t>На условиях:</w:t>
      </w:r>
    </w:p>
    <w:p w:rsidR="00E81CC3" w:rsidRDefault="00E81CC3" w:rsidP="00E81CC3">
      <w:pPr>
        <w:pStyle w:val="aa"/>
        <w:numPr>
          <w:ilvl w:val="0"/>
          <w:numId w:val="1"/>
        </w:numPr>
        <w:rPr>
          <w:color w:val="000000" w:themeColor="text1"/>
        </w:rPr>
      </w:pPr>
      <w:r w:rsidRPr="00E81CC3">
        <w:rPr>
          <w:color w:val="000000" w:themeColor="text1"/>
        </w:rPr>
        <w:t>100% предоплата;</w:t>
      </w:r>
    </w:p>
    <w:p w:rsidR="00E81CC3" w:rsidRPr="00E81CC3" w:rsidRDefault="003E7E2E" w:rsidP="00EF69A5">
      <w:pPr>
        <w:pStyle w:val="aa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с</w:t>
      </w:r>
      <w:r w:rsidR="00E81CC3" w:rsidRPr="00E81CC3">
        <w:rPr>
          <w:color w:val="000000" w:themeColor="text1"/>
        </w:rPr>
        <w:t>амовывоз</w:t>
      </w:r>
      <w:r w:rsidR="00EF69A5">
        <w:rPr>
          <w:color w:val="000000" w:themeColor="text1"/>
        </w:rPr>
        <w:t xml:space="preserve">: </w:t>
      </w:r>
    </w:p>
    <w:p w:rsidR="00E81CC3" w:rsidRPr="00E81CC3" w:rsidRDefault="003E7E2E" w:rsidP="00E81CC3">
      <w:pPr>
        <w:rPr>
          <w:rFonts w:eastAsia="Times New Roman"/>
          <w:bCs w:val="0"/>
          <w:color w:val="000000"/>
          <w:lang w:eastAsia="ru-RU"/>
        </w:rPr>
      </w:pPr>
      <w:r>
        <w:rPr>
          <w:rFonts w:eastAsia="Times New Roman"/>
          <w:bCs w:val="0"/>
          <w:color w:val="000000"/>
          <w:lang w:eastAsia="ru-RU"/>
        </w:rPr>
        <w:tab/>
      </w:r>
      <w:r w:rsidR="00E81CC3" w:rsidRPr="00E81CC3">
        <w:rPr>
          <w:rFonts w:eastAsia="Times New Roman"/>
          <w:bCs w:val="0"/>
          <w:color w:val="000000"/>
          <w:lang w:eastAsia="ru-RU"/>
        </w:rPr>
        <w:t xml:space="preserve">Ответ с указанием стоимости в руб. с НДС прошу предоставить </w:t>
      </w:r>
      <w:r w:rsidR="00EF69A5">
        <w:rPr>
          <w:rFonts w:eastAsia="Times New Roman"/>
          <w:bCs w:val="0"/>
          <w:color w:val="000000"/>
          <w:lang w:eastAsia="ru-RU"/>
        </w:rPr>
        <w:t xml:space="preserve">на электронный адрес </w:t>
      </w:r>
      <w:proofErr w:type="spellStart"/>
      <w:r w:rsidR="00EF69A5">
        <w:rPr>
          <w:rFonts w:eastAsia="Times New Roman"/>
          <w:bCs w:val="0"/>
          <w:color w:val="000000"/>
          <w:lang w:eastAsia="ru-RU"/>
        </w:rPr>
        <w:t>brp</w:t>
      </w:r>
      <w:proofErr w:type="spellEnd"/>
      <w:r w:rsidR="00EF69A5">
        <w:rPr>
          <w:rFonts w:eastAsia="Times New Roman"/>
          <w:bCs w:val="0"/>
          <w:color w:val="000000"/>
          <w:lang w:eastAsia="ru-RU"/>
        </w:rPr>
        <w:t>@</w:t>
      </w:r>
      <w:proofErr w:type="spellStart"/>
      <w:r w:rsidR="00EF69A5">
        <w:rPr>
          <w:rFonts w:eastAsia="Times New Roman"/>
          <w:bCs w:val="0"/>
          <w:color w:val="000000"/>
          <w:lang w:val="en-US" w:eastAsia="ru-RU"/>
        </w:rPr>
        <w:t>ruschem</w:t>
      </w:r>
      <w:proofErr w:type="spellEnd"/>
      <w:r w:rsidR="00E81CC3" w:rsidRPr="00E81CC3">
        <w:rPr>
          <w:rFonts w:eastAsia="Times New Roman"/>
          <w:bCs w:val="0"/>
          <w:color w:val="000000"/>
          <w:lang w:eastAsia="ru-RU"/>
        </w:rPr>
        <w:t>.</w:t>
      </w:r>
      <w:proofErr w:type="spellStart"/>
      <w:r w:rsidR="00E81CC3" w:rsidRPr="00E81CC3">
        <w:rPr>
          <w:rFonts w:eastAsia="Times New Roman"/>
          <w:bCs w:val="0"/>
          <w:color w:val="000000"/>
          <w:lang w:eastAsia="ru-RU"/>
        </w:rPr>
        <w:t>ru</w:t>
      </w:r>
      <w:proofErr w:type="spellEnd"/>
      <w:r w:rsidR="00E81CC3" w:rsidRPr="00E81CC3">
        <w:rPr>
          <w:rFonts w:eastAsia="Times New Roman"/>
          <w:bCs w:val="0"/>
          <w:color w:val="000000"/>
          <w:lang w:eastAsia="ru-RU"/>
        </w:rPr>
        <w:t xml:space="preserve"> </w:t>
      </w:r>
    </w:p>
    <w:p w:rsidR="00BF3284" w:rsidRDefault="00BF3284" w:rsidP="00C105D5">
      <w:pPr>
        <w:rPr>
          <w:color w:val="808080" w:themeColor="background1" w:themeShade="80"/>
          <w:sz w:val="22"/>
          <w:szCs w:val="22"/>
        </w:rPr>
      </w:pPr>
    </w:p>
    <w:p w:rsidR="003E7E2E" w:rsidRDefault="003E7E2E" w:rsidP="003E7E2E">
      <w:pPr>
        <w:contextualSpacing/>
        <w:jc w:val="center"/>
        <w:rPr>
          <w:b/>
        </w:rPr>
      </w:pPr>
      <w:r>
        <w:rPr>
          <w:b/>
        </w:rPr>
        <w:t>1</w:t>
      </w:r>
      <w:r w:rsidRPr="00144C84">
        <w:rPr>
          <w:b/>
        </w:rPr>
        <w:t xml:space="preserve"> </w:t>
      </w:r>
      <w:r>
        <w:rPr>
          <w:b/>
        </w:rPr>
        <w:t>Л</w:t>
      </w:r>
      <w:r w:rsidRPr="00144C84">
        <w:rPr>
          <w:b/>
        </w:rPr>
        <w:t xml:space="preserve">абораторные испытания </w:t>
      </w:r>
    </w:p>
    <w:p w:rsidR="003E7E2E" w:rsidRPr="0009595D" w:rsidRDefault="003E7E2E" w:rsidP="003E7E2E">
      <w:pPr>
        <w:contextualSpacing/>
        <w:jc w:val="center"/>
        <w:rPr>
          <w:b/>
        </w:rPr>
      </w:pPr>
      <w:r w:rsidRPr="00144C84">
        <w:rPr>
          <w:b/>
        </w:rPr>
        <w:t>некондиционного сульфата железа</w:t>
      </w:r>
      <w:r w:rsidRPr="0009595D">
        <w:t xml:space="preserve"> </w:t>
      </w:r>
    </w:p>
    <w:p w:rsidR="003E7E2E" w:rsidRDefault="003E7E2E" w:rsidP="003E7E2E">
      <w:pPr>
        <w:spacing w:line="276" w:lineRule="auto"/>
        <w:ind w:firstLine="709"/>
        <w:contextualSpacing/>
      </w:pPr>
    </w:p>
    <w:p w:rsidR="003E7E2E" w:rsidRDefault="003E7E2E" w:rsidP="003E7E2E">
      <w:pPr>
        <w:spacing w:line="276" w:lineRule="auto"/>
        <w:ind w:firstLine="709"/>
        <w:contextualSpacing/>
      </w:pPr>
      <w:r>
        <w:t xml:space="preserve">24.10.2023г цех №59 предоставил пробу некондиционного </w:t>
      </w:r>
      <w:r w:rsidRPr="00144C84">
        <w:t>сульфата железа</w:t>
      </w:r>
      <w:r>
        <w:t xml:space="preserve"> в количестве 2,5 кг. Проба отобрана из 3-х </w:t>
      </w:r>
      <w:proofErr w:type="spellStart"/>
      <w:r>
        <w:t>биг-бэгов</w:t>
      </w:r>
      <w:proofErr w:type="spellEnd"/>
      <w:r>
        <w:t xml:space="preserve">, завезённых </w:t>
      </w:r>
      <w:r w:rsidRPr="005B0932">
        <w:t>в</w:t>
      </w:r>
      <w:r>
        <w:rPr>
          <w:b/>
        </w:rPr>
        <w:t xml:space="preserve"> </w:t>
      </w:r>
      <w:r>
        <w:t>цех</w:t>
      </w:r>
      <w:r w:rsidR="00CB1FC4">
        <w:t>.</w:t>
      </w:r>
      <w:r>
        <w:t xml:space="preserve"> Внешний вид предоставленной пробы приведён на рис. 1.</w:t>
      </w:r>
    </w:p>
    <w:p w:rsidR="003E7E2E" w:rsidRDefault="003E7E2E" w:rsidP="003E7E2E">
      <w:pPr>
        <w:spacing w:line="276" w:lineRule="auto"/>
        <w:contextualSpacing/>
        <w:jc w:val="center"/>
        <w:rPr>
          <w:b/>
        </w:rPr>
      </w:pPr>
    </w:p>
    <w:p w:rsidR="003E7E2E" w:rsidRPr="00144C84" w:rsidRDefault="003E7E2E" w:rsidP="003E7E2E">
      <w:pPr>
        <w:spacing w:line="276" w:lineRule="auto"/>
        <w:contextualSpacing/>
        <w:jc w:val="center"/>
        <w:rPr>
          <w:b/>
        </w:rPr>
      </w:pPr>
      <w:r>
        <w:rPr>
          <w:b/>
        </w:rPr>
        <w:t xml:space="preserve">1.1 </w:t>
      </w:r>
      <w:r w:rsidRPr="0063416C">
        <w:rPr>
          <w:b/>
        </w:rPr>
        <w:t>Подготовка пробы</w:t>
      </w:r>
      <w:r w:rsidRPr="00144C84">
        <w:rPr>
          <w:b/>
        </w:rPr>
        <w:t xml:space="preserve"> некондиционного сульфата железа</w:t>
      </w:r>
    </w:p>
    <w:p w:rsidR="003E7E2E" w:rsidRDefault="003E7E2E" w:rsidP="003E7E2E">
      <w:pPr>
        <w:spacing w:line="276" w:lineRule="auto"/>
        <w:ind w:firstLine="709"/>
        <w:contextualSpacing/>
      </w:pPr>
      <w:r>
        <w:t xml:space="preserve">Проба представленного на испытания некондиционного </w:t>
      </w:r>
      <w:r w:rsidRPr="00144C84">
        <w:t>сульфата железа</w:t>
      </w:r>
      <w:r>
        <w:t xml:space="preserve"> по внешнему виду неоднородная. Помимо</w:t>
      </w:r>
      <w:r w:rsidRPr="00144C84">
        <w:rPr>
          <w:b/>
        </w:rPr>
        <w:t xml:space="preserve"> </w:t>
      </w:r>
      <w:r w:rsidRPr="00144C84">
        <w:t>сульфата железа</w:t>
      </w:r>
      <w:r>
        <w:t xml:space="preserve"> в виде голубовато-зеленоватых кристаллов (а, в), присутствуют почва и остатки топлива (б), продукты окисления и </w:t>
      </w:r>
      <w:proofErr w:type="gramStart"/>
      <w:r>
        <w:t>соединения  железа</w:t>
      </w:r>
      <w:proofErr w:type="gramEnd"/>
      <w:r>
        <w:t xml:space="preserve"> (г), глина и цементный раствор (д) и другие визуально не идентифицируемые составляющие.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52"/>
        <w:gridCol w:w="3231"/>
        <w:gridCol w:w="3070"/>
      </w:tblGrid>
      <w:tr w:rsidR="003E7E2E" w:rsidTr="00983512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spacing w:line="276" w:lineRule="auto"/>
              <w:contextualSpacing/>
            </w:pPr>
            <w:r w:rsidRPr="001776A9">
              <w:rPr>
                <w:sz w:val="24"/>
                <w:szCs w:val="24"/>
              </w:rPr>
              <w:object w:dxaOrig="3360" w:dyaOrig="2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141pt" o:ole="">
                  <v:imagedata r:id="rId7" o:title=""/>
                </v:shape>
                <o:OLEObject Type="Embed" ProgID="PBrush" ShapeID="_x0000_i1025" DrawAspect="Content" ObjectID="_1768649335" r:id="rId8"/>
              </w:objec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spacing w:line="276" w:lineRule="auto"/>
              <w:contextualSpacing/>
            </w:pPr>
            <w:r w:rsidRPr="001776A9">
              <w:rPr>
                <w:sz w:val="24"/>
                <w:szCs w:val="24"/>
              </w:rPr>
              <w:object w:dxaOrig="2940" w:dyaOrig="2865">
                <v:shape id="_x0000_i1026" type="#_x0000_t75" style="width:147pt;height:143.25pt" o:ole="">
                  <v:imagedata r:id="rId9" o:title=""/>
                </v:shape>
                <o:OLEObject Type="Embed" ProgID="PBrush" ShapeID="_x0000_i1026" DrawAspect="Content" ObjectID="_1768649336" r:id="rId10"/>
              </w:objec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spacing w:line="276" w:lineRule="auto"/>
              <w:contextualSpacing/>
            </w:pPr>
            <w:r w:rsidRPr="001776A9">
              <w:rPr>
                <w:sz w:val="24"/>
                <w:szCs w:val="24"/>
              </w:rPr>
              <w:object w:dxaOrig="2700" w:dyaOrig="2835">
                <v:shape id="_x0000_i1027" type="#_x0000_t75" style="width:138.75pt;height:141pt" o:ole="">
                  <v:imagedata r:id="rId11" o:title=""/>
                </v:shape>
                <o:OLEObject Type="Embed" ProgID="PBrush" ShapeID="_x0000_i1027" DrawAspect="Content" ObjectID="_1768649337" r:id="rId12"/>
              </w:object>
            </w:r>
          </w:p>
        </w:tc>
      </w:tr>
      <w:tr w:rsidR="003E7E2E" w:rsidTr="00983512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spacing w:line="276" w:lineRule="auto"/>
              <w:contextualSpacing/>
              <w:jc w:val="center"/>
            </w:pPr>
            <w:r w:rsidRPr="00262472">
              <w:rPr>
                <w:b/>
              </w:rPr>
              <w:t>а)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spacing w:line="276" w:lineRule="auto"/>
              <w:contextualSpacing/>
              <w:jc w:val="center"/>
            </w:pPr>
            <w:r w:rsidRPr="00262472">
              <w:rPr>
                <w:b/>
              </w:rPr>
              <w:t>б)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spacing w:line="276" w:lineRule="auto"/>
              <w:contextualSpacing/>
              <w:jc w:val="center"/>
            </w:pPr>
            <w:r w:rsidRPr="00262472">
              <w:rPr>
                <w:b/>
              </w:rPr>
              <w:t>в)</w:t>
            </w:r>
          </w:p>
        </w:tc>
      </w:tr>
      <w:tr w:rsidR="003E7E2E" w:rsidTr="00983512">
        <w:trPr>
          <w:trHeight w:val="2827"/>
        </w:trPr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spacing w:line="276" w:lineRule="auto"/>
              <w:contextualSpacing/>
            </w:pPr>
            <w:r w:rsidRPr="001776A9">
              <w:rPr>
                <w:sz w:val="24"/>
                <w:szCs w:val="24"/>
              </w:rPr>
              <w:object w:dxaOrig="2835" w:dyaOrig="2955">
                <v:shape id="_x0000_i1028" type="#_x0000_t75" style="width:162.75pt;height:138pt" o:ole="">
                  <v:imagedata r:id="rId13" o:title=""/>
                </v:shape>
                <o:OLEObject Type="Embed" ProgID="PBrush" ShapeID="_x0000_i1028" DrawAspect="Content" ObjectID="_1768649338" r:id="rId14"/>
              </w:objec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spacing w:line="276" w:lineRule="auto"/>
              <w:contextualSpacing/>
            </w:pPr>
            <w:r w:rsidRPr="001776A9">
              <w:rPr>
                <w:sz w:val="24"/>
                <w:szCs w:val="24"/>
              </w:rPr>
              <w:object w:dxaOrig="2970" w:dyaOrig="2835">
                <v:shape id="_x0000_i1029" type="#_x0000_t75" style="width:150.75pt;height:132.75pt" o:ole="">
                  <v:imagedata r:id="rId15" o:title=""/>
                </v:shape>
                <o:OLEObject Type="Embed" ProgID="PBrush" ShapeID="_x0000_i1029" DrawAspect="Content" ObjectID="_1768649339" r:id="rId16"/>
              </w:objec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spacing w:line="276" w:lineRule="auto"/>
              <w:contextualSpacing/>
            </w:pPr>
            <w:r w:rsidRPr="001776A9">
              <w:rPr>
                <w:sz w:val="24"/>
                <w:szCs w:val="24"/>
              </w:rPr>
              <w:object w:dxaOrig="3030" w:dyaOrig="2820">
                <v:shape id="_x0000_i1030" type="#_x0000_t75" style="width:138pt;height:132.75pt" o:ole="">
                  <v:imagedata r:id="rId17" o:title=""/>
                </v:shape>
                <o:OLEObject Type="Embed" ProgID="PBrush" ShapeID="_x0000_i1030" DrawAspect="Content" ObjectID="_1768649340" r:id="rId18"/>
              </w:object>
            </w:r>
          </w:p>
        </w:tc>
      </w:tr>
      <w:tr w:rsidR="003E7E2E" w:rsidTr="00983512"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spacing w:line="276" w:lineRule="auto"/>
              <w:contextualSpacing/>
              <w:jc w:val="center"/>
            </w:pPr>
            <w:r w:rsidRPr="00262472">
              <w:rPr>
                <w:b/>
              </w:rPr>
              <w:lastRenderedPageBreak/>
              <w:t>г)</w:t>
            </w:r>
          </w:p>
        </w:tc>
        <w:tc>
          <w:tcPr>
            <w:tcW w:w="3231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spacing w:line="276" w:lineRule="auto"/>
              <w:contextualSpacing/>
              <w:jc w:val="center"/>
            </w:pPr>
            <w:r w:rsidRPr="003F3E52">
              <w:rPr>
                <w:b/>
              </w:rPr>
              <w:t>д)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spacing w:line="276" w:lineRule="auto"/>
              <w:contextualSpacing/>
              <w:jc w:val="center"/>
            </w:pPr>
            <w:r w:rsidRPr="003F3E52">
              <w:rPr>
                <w:b/>
              </w:rPr>
              <w:t>е)</w:t>
            </w:r>
          </w:p>
        </w:tc>
      </w:tr>
      <w:tr w:rsidR="003E7E2E" w:rsidTr="00983512">
        <w:tc>
          <w:tcPr>
            <w:tcW w:w="9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E7E2E" w:rsidRPr="003F3E52" w:rsidRDefault="003E7E2E" w:rsidP="00983512">
            <w:pPr>
              <w:spacing w:line="276" w:lineRule="auto"/>
              <w:contextualSpacing/>
              <w:jc w:val="center"/>
              <w:rPr>
                <w:b/>
              </w:rPr>
            </w:pPr>
            <w:r w:rsidRPr="00144C84">
              <w:rPr>
                <w:b/>
              </w:rPr>
              <w:t>Рис. 1 - Проба некондиционного сульфата железа</w:t>
            </w:r>
          </w:p>
        </w:tc>
      </w:tr>
    </w:tbl>
    <w:p w:rsidR="003E7E2E" w:rsidRDefault="003E7E2E" w:rsidP="003E7E2E">
      <w:pPr>
        <w:pStyle w:val="Style3"/>
        <w:widowControl/>
        <w:tabs>
          <w:tab w:val="left" w:pos="709"/>
        </w:tabs>
        <w:spacing w:before="24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предоставленная проба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неоднородна,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объективной оценки, перед проведением лабораторных испытаний отобрали семь неодинаковых по размеру и составу кусков, которые анализировали отдельно (</w:t>
      </w:r>
      <w:r w:rsidRPr="00A57F33">
        <w:rPr>
          <w:rFonts w:ascii="Times New Roman" w:hAnsi="Times New Roman" w:cs="Times New Roman"/>
          <w:i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ab/>
        <w:t xml:space="preserve">Оставшуюся часть растерли в ступке до однородности (рис.1, е) и далее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анализировали 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6A7">
        <w:rPr>
          <w:rFonts w:ascii="Times New Roman" w:hAnsi="Times New Roman" w:cs="Times New Roman"/>
          <w:i/>
          <w:sz w:val="28"/>
          <w:szCs w:val="28"/>
        </w:rPr>
        <w:t>общую</w:t>
      </w:r>
      <w:r>
        <w:rPr>
          <w:rFonts w:ascii="Times New Roman" w:hAnsi="Times New Roman" w:cs="Times New Roman"/>
          <w:sz w:val="28"/>
          <w:szCs w:val="28"/>
        </w:rPr>
        <w:t xml:space="preserve"> пробу (</w:t>
      </w:r>
      <w:r w:rsidRPr="00A57F33">
        <w:rPr>
          <w:rFonts w:ascii="Times New Roman" w:hAnsi="Times New Roman" w:cs="Times New Roman"/>
          <w:i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Очевидно, что в условиях цеха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добиться подобной однородности продукта не представляется возможным. Тем не менее, далее будет показано,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гомогенизация  некондиционного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сульфата железа позволит получить более равномерное содержание основного вещества в смеси, а также способствует увеличению скорости растворения реагента в воде.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Выборочный анализ 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53577">
        <w:rPr>
          <w:rFonts w:ascii="Times New Roman" w:hAnsi="Times New Roman" w:cs="Times New Roman"/>
          <w:sz w:val="28"/>
          <w:szCs w:val="28"/>
        </w:rPr>
        <w:t xml:space="preserve">Для проведения выборочного анализа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использовали образцы отобранных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кусков </w:t>
      </w:r>
      <w:r w:rsidRPr="0063416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63416C">
        <w:rPr>
          <w:rFonts w:ascii="Times New Roman" w:hAnsi="Times New Roman" w:cs="Times New Roman"/>
          <w:sz w:val="28"/>
          <w:szCs w:val="28"/>
        </w:rPr>
        <w:t xml:space="preserve">семь проб) </w:t>
      </w:r>
      <w:r>
        <w:rPr>
          <w:rFonts w:ascii="Times New Roman" w:hAnsi="Times New Roman" w:cs="Times New Roman"/>
          <w:sz w:val="28"/>
          <w:szCs w:val="28"/>
        </w:rPr>
        <w:t xml:space="preserve">массой 60÷150 г. Образцы каждый по отдельности </w:t>
      </w:r>
      <w:r w:rsidRPr="0063416C">
        <w:rPr>
          <w:rFonts w:ascii="Times New Roman" w:hAnsi="Times New Roman" w:cs="Times New Roman"/>
          <w:sz w:val="28"/>
          <w:szCs w:val="28"/>
        </w:rPr>
        <w:t xml:space="preserve">поместили в стаканы </w:t>
      </w:r>
      <w:r>
        <w:rPr>
          <w:rFonts w:ascii="Times New Roman" w:hAnsi="Times New Roman" w:cs="Times New Roman"/>
          <w:sz w:val="28"/>
          <w:szCs w:val="28"/>
        </w:rPr>
        <w:t>объёмом 600÷800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 К каждому образцу добавили соответствующее количество воды. Соотношение твёрдой части и растворителя по массе во всех образцах составляло 1:5, т.е. на 100 г пробы объём воды составлял не менее 500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012">
        <w:rPr>
          <w:rFonts w:ascii="Times New Roman" w:hAnsi="Times New Roman" w:cs="Times New Roman"/>
          <w:sz w:val="28"/>
          <w:szCs w:val="28"/>
        </w:rPr>
        <w:t xml:space="preserve">(см. </w:t>
      </w:r>
      <w:r w:rsidRPr="00A20012">
        <w:rPr>
          <w:rFonts w:ascii="Times New Roman" w:hAnsi="Times New Roman" w:cs="Times New Roman"/>
          <w:i/>
          <w:sz w:val="28"/>
          <w:szCs w:val="28"/>
        </w:rPr>
        <w:t>Приложение 1</w:t>
      </w:r>
      <w:r w:rsidRPr="00A2001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добавления воды (растворителя) пробу тщательно перемешали и оставили на выдержке в течение 6 часов. Через каждый час образцы-куски энергично перемешивали стеклянной палочкой, надавливая на не растворившуюся часть для её механического разрушения и последующего растворения.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отметить, что при таком соотношении пробы и воды (1:5) и интенсивном перемешивании образцы в виде единичных кусков №№ 4÷7 разрушились на более мелкие части достаточно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быстро,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течение ~15 минут.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Образец № 1 далее не анализировали, поскольку за 48 часов он так и не растворился полностью. Оставшаяся нерастворённая часть – липкое, тягучее, желеобразное вещество, возможно инородная примесь органического происхождения. 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течение 6 часов все образцы-куски, за исключением образца № 1, распались. В стаканах образовалась </w:t>
      </w:r>
      <w:r w:rsidRPr="002F1D3C">
        <w:rPr>
          <w:rFonts w:ascii="Times New Roman" w:hAnsi="Times New Roman" w:cs="Times New Roman"/>
          <w:i/>
          <w:sz w:val="28"/>
          <w:szCs w:val="28"/>
        </w:rPr>
        <w:t>непрозрачная</w:t>
      </w:r>
      <w:r>
        <w:rPr>
          <w:rFonts w:ascii="Times New Roman" w:hAnsi="Times New Roman" w:cs="Times New Roman"/>
          <w:sz w:val="28"/>
          <w:szCs w:val="28"/>
        </w:rPr>
        <w:t xml:space="preserve"> суспензия – смесь растворившихся и твёрдых, не растворившихся частиц. Крупные частицы (до 1÷5 мм) сели на дно стакана.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Мелкие  частицы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 мм</w:t>
      </w:r>
      <w:r w:rsidRPr="00F221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менее) находились во взвешенном состоянии и распределились по всему объёму раствора. Содержание взвешенных веществ в полученных растворах проб №№ 2÷7 значительно больше 500 мг/дм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Style w:val="af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Нерастворившиеся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воде примеси образцов №№ 2÷7 отделили от раствора посредством фильтрования через слой лабораторного бумажного фильтра «синяя лента» размером пор 2÷3 мкм. Фильтрация не дала положительных результатов – </w:t>
      </w:r>
      <w:r>
        <w:rPr>
          <w:rFonts w:ascii="Times New Roman" w:hAnsi="Times New Roman" w:cs="Times New Roman"/>
          <w:sz w:val="28"/>
          <w:szCs w:val="28"/>
        </w:rPr>
        <w:lastRenderedPageBreak/>
        <w:t>отфильтрованные растворы мутные, не прозрачные, содержат значительное количество мелкодисперсных взвешенных частиц. Содержание взвешенных веществ в отфильтрованных растворах проб №№ 2÷7 более 500 мг/дм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этого,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растворы  тщательно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перемешали и оставили на 12 часов для отстаивания и осаждения взвешенных частиц. После отстаивания в осветленной части определили содержание взвешенных веществ. Результаты приведены в табл.1. Для наглядности процесса осветления, менее окрашенные растворы перенесли в цилиндры (рис. 2). </w:t>
      </w:r>
    </w:p>
    <w:p w:rsidR="003E7E2E" w:rsidRPr="004E7978" w:rsidRDefault="003E7E2E" w:rsidP="003E7E2E">
      <w:pPr>
        <w:pStyle w:val="Style3"/>
        <w:widowControl/>
        <w:tabs>
          <w:tab w:val="left" w:pos="1418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7978">
        <w:rPr>
          <w:rFonts w:ascii="Times New Roman" w:hAnsi="Times New Roman" w:cs="Times New Roman"/>
          <w:sz w:val="28"/>
          <w:szCs w:val="28"/>
        </w:rPr>
        <w:t xml:space="preserve">Таблица 1 – Содержание </w:t>
      </w:r>
      <w:proofErr w:type="gramStart"/>
      <w:r w:rsidRPr="004E7978">
        <w:rPr>
          <w:rFonts w:ascii="Times New Roman" w:hAnsi="Times New Roman" w:cs="Times New Roman"/>
          <w:sz w:val="28"/>
          <w:szCs w:val="28"/>
        </w:rPr>
        <w:t>взвешенных  частиц</w:t>
      </w:r>
      <w:proofErr w:type="gramEnd"/>
      <w:r w:rsidRPr="004E7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осветленной части </w:t>
      </w:r>
      <w:r w:rsidRPr="004E7978">
        <w:rPr>
          <w:rFonts w:ascii="Times New Roman" w:hAnsi="Times New Roman" w:cs="Times New Roman"/>
          <w:sz w:val="28"/>
          <w:szCs w:val="28"/>
        </w:rPr>
        <w:t>после отстаивания (мг/дм</w:t>
      </w:r>
      <w:r w:rsidRPr="004E797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E7978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448"/>
        <w:gridCol w:w="1448"/>
        <w:gridCol w:w="1448"/>
        <w:gridCol w:w="1448"/>
        <w:gridCol w:w="1448"/>
        <w:gridCol w:w="1449"/>
      </w:tblGrid>
      <w:tr w:rsidR="003E7E2E" w:rsidTr="00983512">
        <w:trPr>
          <w:jc w:val="center"/>
        </w:trPr>
        <w:tc>
          <w:tcPr>
            <w:tcW w:w="8689" w:type="dxa"/>
            <w:gridSpan w:val="6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образца</w:t>
            </w:r>
          </w:p>
        </w:tc>
      </w:tr>
      <w:tr w:rsidR="003E7E2E" w:rsidTr="00983512">
        <w:trPr>
          <w:jc w:val="center"/>
        </w:trPr>
        <w:tc>
          <w:tcPr>
            <w:tcW w:w="1448" w:type="dxa"/>
            <w:vAlign w:val="center"/>
          </w:tcPr>
          <w:p w:rsidR="003E7E2E" w:rsidRPr="00E02F8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02F8E">
              <w:rPr>
                <w:rFonts w:ascii="Times New Roman" w:hAnsi="Times New Roman" w:cs="Times New Roman"/>
              </w:rPr>
              <w:t>№2</w:t>
            </w:r>
          </w:p>
        </w:tc>
        <w:tc>
          <w:tcPr>
            <w:tcW w:w="1448" w:type="dxa"/>
            <w:vAlign w:val="center"/>
          </w:tcPr>
          <w:p w:rsidR="003E7E2E" w:rsidRPr="00E02F8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02F8E">
              <w:rPr>
                <w:rFonts w:ascii="Times New Roman" w:hAnsi="Times New Roman" w:cs="Times New Roman"/>
              </w:rPr>
              <w:t>№3</w:t>
            </w:r>
          </w:p>
        </w:tc>
        <w:tc>
          <w:tcPr>
            <w:tcW w:w="1448" w:type="dxa"/>
            <w:vAlign w:val="center"/>
          </w:tcPr>
          <w:p w:rsidR="003E7E2E" w:rsidRPr="00E02F8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02F8E">
              <w:rPr>
                <w:rFonts w:ascii="Times New Roman" w:hAnsi="Times New Roman" w:cs="Times New Roman"/>
              </w:rPr>
              <w:t>№4</w:t>
            </w:r>
          </w:p>
        </w:tc>
        <w:tc>
          <w:tcPr>
            <w:tcW w:w="1448" w:type="dxa"/>
            <w:vAlign w:val="center"/>
          </w:tcPr>
          <w:p w:rsidR="003E7E2E" w:rsidRPr="00E02F8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02F8E">
              <w:rPr>
                <w:rFonts w:ascii="Times New Roman" w:hAnsi="Times New Roman" w:cs="Times New Roman"/>
              </w:rPr>
              <w:t>№5</w:t>
            </w:r>
          </w:p>
        </w:tc>
        <w:tc>
          <w:tcPr>
            <w:tcW w:w="1448" w:type="dxa"/>
            <w:vAlign w:val="center"/>
          </w:tcPr>
          <w:p w:rsidR="003E7E2E" w:rsidRPr="00E02F8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02F8E">
              <w:rPr>
                <w:rFonts w:ascii="Times New Roman" w:hAnsi="Times New Roman" w:cs="Times New Roman"/>
              </w:rPr>
              <w:t>№6</w:t>
            </w:r>
          </w:p>
        </w:tc>
        <w:tc>
          <w:tcPr>
            <w:tcW w:w="1449" w:type="dxa"/>
            <w:vAlign w:val="center"/>
          </w:tcPr>
          <w:p w:rsidR="003E7E2E" w:rsidRPr="00E02F8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02F8E">
              <w:rPr>
                <w:rFonts w:ascii="Times New Roman" w:hAnsi="Times New Roman" w:cs="Times New Roman"/>
              </w:rPr>
              <w:t>№7</w:t>
            </w:r>
          </w:p>
        </w:tc>
      </w:tr>
      <w:tr w:rsidR="003E7E2E" w:rsidTr="00983512">
        <w:trPr>
          <w:jc w:val="center"/>
        </w:trPr>
        <w:tc>
          <w:tcPr>
            <w:tcW w:w="1448" w:type="dxa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140,6</w:t>
            </w:r>
          </w:p>
        </w:tc>
        <w:tc>
          <w:tcPr>
            <w:tcW w:w="1448" w:type="dxa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230,4</w:t>
            </w:r>
          </w:p>
        </w:tc>
        <w:tc>
          <w:tcPr>
            <w:tcW w:w="1448" w:type="dxa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184,1</w:t>
            </w:r>
          </w:p>
        </w:tc>
        <w:tc>
          <w:tcPr>
            <w:tcW w:w="1448" w:type="dxa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121,8</w:t>
            </w:r>
          </w:p>
        </w:tc>
        <w:tc>
          <w:tcPr>
            <w:tcW w:w="1448" w:type="dxa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85,5</w:t>
            </w:r>
          </w:p>
        </w:tc>
        <w:tc>
          <w:tcPr>
            <w:tcW w:w="1449" w:type="dxa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206,8</w:t>
            </w:r>
          </w:p>
        </w:tc>
      </w:tr>
    </w:tbl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 анализа экспериментальных результатов, можно отметить, что отстаивание дает значительные положительные результаты. Все растворы, несмотря на присутствие окраски,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обусловленной  растворёнными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примесями, </w:t>
      </w:r>
      <w:r w:rsidRPr="006B13AE">
        <w:rPr>
          <w:rFonts w:ascii="Times New Roman" w:hAnsi="Times New Roman" w:cs="Times New Roman"/>
          <w:i/>
          <w:sz w:val="28"/>
          <w:szCs w:val="28"/>
        </w:rPr>
        <w:t>прозрачные</w:t>
      </w:r>
      <w:r>
        <w:rPr>
          <w:rFonts w:ascii="Times New Roman" w:hAnsi="Times New Roman" w:cs="Times New Roman"/>
          <w:sz w:val="28"/>
          <w:szCs w:val="28"/>
        </w:rPr>
        <w:t xml:space="preserve">. Часть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нерастворившихся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воде частиц распределилась по всему объему в виде мелкодисперсных взвешенных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частиц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часть осела на дно сосуда.  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4417"/>
      </w:tblGrid>
      <w:tr w:rsidR="003E7E2E" w:rsidTr="00983512">
        <w:trPr>
          <w:jc w:val="center"/>
        </w:trPr>
        <w:tc>
          <w:tcPr>
            <w:tcW w:w="5436" w:type="dxa"/>
            <w:vAlign w:val="center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776A9">
              <w:object w:dxaOrig="4905" w:dyaOrig="3795">
                <v:shape id="_x0000_i1031" type="#_x0000_t75" style="width:245.25pt;height:143.25pt" o:ole="">
                  <v:imagedata r:id="rId19" o:title=""/>
                </v:shape>
                <o:OLEObject Type="Embed" ProgID="PBrush" ShapeID="_x0000_i1031" DrawAspect="Content" ObjectID="_1768649341" r:id="rId20"/>
              </w:object>
            </w:r>
          </w:p>
        </w:tc>
        <w:tc>
          <w:tcPr>
            <w:tcW w:w="4417" w:type="dxa"/>
            <w:vMerge w:val="restart"/>
          </w:tcPr>
          <w:p w:rsidR="003E7E2E" w:rsidRPr="004116A4" w:rsidRDefault="003E7E2E" w:rsidP="00983512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4116A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Преимущества отстаивания:</w:t>
            </w:r>
          </w:p>
          <w:p w:rsidR="003E7E2E" w:rsidRPr="004116A4" w:rsidRDefault="003E7E2E" w:rsidP="00983512">
            <w:pPr>
              <w:pStyle w:val="Style3"/>
              <w:widowControl/>
              <w:spacing w:line="240" w:lineRule="auto"/>
              <w:ind w:left="234" w:hanging="234"/>
              <w:rPr>
                <w:rFonts w:ascii="Times New Roman" w:hAnsi="Times New Roman" w:cs="Times New Roman"/>
              </w:rPr>
            </w:pPr>
            <w:r w:rsidRPr="004116A4">
              <w:rPr>
                <w:rFonts w:ascii="Times New Roman" w:hAnsi="Times New Roman" w:cs="Times New Roman"/>
              </w:rPr>
              <w:t>- качество осветления растворов вы</w:t>
            </w:r>
            <w:r>
              <w:rPr>
                <w:rFonts w:ascii="Times New Roman" w:hAnsi="Times New Roman" w:cs="Times New Roman"/>
              </w:rPr>
              <w:t xml:space="preserve">ше, в </w:t>
            </w:r>
            <w:proofErr w:type="gramStart"/>
            <w:r>
              <w:rPr>
                <w:rFonts w:ascii="Times New Roman" w:hAnsi="Times New Roman" w:cs="Times New Roman"/>
              </w:rPr>
              <w:t xml:space="preserve">сравнении </w:t>
            </w:r>
            <w:r w:rsidRPr="004116A4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4116A4">
              <w:rPr>
                <w:rFonts w:ascii="Times New Roman" w:hAnsi="Times New Roman" w:cs="Times New Roman"/>
              </w:rPr>
              <w:t xml:space="preserve"> фильтровани</w:t>
            </w:r>
            <w:r>
              <w:rPr>
                <w:rFonts w:ascii="Times New Roman" w:hAnsi="Times New Roman" w:cs="Times New Roman"/>
              </w:rPr>
              <w:t>ем</w:t>
            </w:r>
            <w:r w:rsidRPr="004116A4">
              <w:rPr>
                <w:rFonts w:ascii="Times New Roman" w:hAnsi="Times New Roman" w:cs="Times New Roman"/>
              </w:rPr>
              <w:t>;</w:t>
            </w:r>
          </w:p>
          <w:p w:rsidR="003E7E2E" w:rsidRPr="004116A4" w:rsidRDefault="003E7E2E" w:rsidP="00983512">
            <w:pPr>
              <w:pStyle w:val="Style3"/>
              <w:widowControl/>
              <w:spacing w:line="240" w:lineRule="auto"/>
              <w:ind w:left="234" w:hanging="234"/>
              <w:rPr>
                <w:rFonts w:ascii="Times New Roman" w:hAnsi="Times New Roman" w:cs="Times New Roman"/>
              </w:rPr>
            </w:pPr>
            <w:r w:rsidRPr="004116A4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не требуются высокие </w:t>
            </w:r>
            <w:r w:rsidRPr="004116A4">
              <w:rPr>
                <w:rFonts w:ascii="Times New Roman" w:hAnsi="Times New Roman" w:cs="Times New Roman"/>
              </w:rPr>
              <w:t>капиталь</w:t>
            </w:r>
            <w:r>
              <w:rPr>
                <w:rFonts w:ascii="Times New Roman" w:hAnsi="Times New Roman" w:cs="Times New Roman"/>
              </w:rPr>
              <w:t>ные</w:t>
            </w:r>
            <w:r w:rsidRPr="004116A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116A4">
              <w:rPr>
                <w:rFonts w:ascii="Times New Roman" w:hAnsi="Times New Roman" w:cs="Times New Roman"/>
              </w:rPr>
              <w:t>вложения  и</w:t>
            </w:r>
            <w:proofErr w:type="gramEnd"/>
            <w:r w:rsidRPr="004116A4">
              <w:rPr>
                <w:rFonts w:ascii="Times New Roman" w:hAnsi="Times New Roman" w:cs="Times New Roman"/>
              </w:rPr>
              <w:t xml:space="preserve"> материаль</w:t>
            </w:r>
            <w:r>
              <w:rPr>
                <w:rFonts w:ascii="Times New Roman" w:hAnsi="Times New Roman" w:cs="Times New Roman"/>
              </w:rPr>
              <w:t>ные</w:t>
            </w:r>
            <w:r w:rsidRPr="004116A4">
              <w:rPr>
                <w:rFonts w:ascii="Times New Roman" w:hAnsi="Times New Roman" w:cs="Times New Roman"/>
              </w:rPr>
              <w:t xml:space="preserve"> затрат</w:t>
            </w:r>
            <w:r>
              <w:rPr>
                <w:rFonts w:ascii="Times New Roman" w:hAnsi="Times New Roman" w:cs="Times New Roman"/>
              </w:rPr>
              <w:t>ы</w:t>
            </w:r>
            <w:r w:rsidRPr="004116A4">
              <w:rPr>
                <w:rFonts w:ascii="Times New Roman" w:hAnsi="Times New Roman" w:cs="Times New Roman"/>
              </w:rPr>
              <w:t>;</w:t>
            </w:r>
          </w:p>
          <w:p w:rsidR="003E7E2E" w:rsidRPr="004116A4" w:rsidRDefault="003E7E2E" w:rsidP="00983512">
            <w:pPr>
              <w:pStyle w:val="Style3"/>
              <w:widowControl/>
              <w:spacing w:line="240" w:lineRule="auto"/>
              <w:ind w:left="234" w:hanging="234"/>
              <w:rPr>
                <w:rFonts w:ascii="Times New Roman" w:hAnsi="Times New Roman" w:cs="Times New Roman"/>
              </w:rPr>
            </w:pPr>
            <w:r w:rsidRPr="004116A4">
              <w:rPr>
                <w:rFonts w:ascii="Times New Roman" w:hAnsi="Times New Roman" w:cs="Times New Roman"/>
              </w:rPr>
              <w:t xml:space="preserve">- отсутствие механических примесей и не растворившихся частиц в </w:t>
            </w:r>
            <w:proofErr w:type="gramStart"/>
            <w:r w:rsidRPr="004116A4">
              <w:rPr>
                <w:rFonts w:ascii="Times New Roman" w:hAnsi="Times New Roman" w:cs="Times New Roman"/>
              </w:rPr>
              <w:t>жидкости  снижает</w:t>
            </w:r>
            <w:proofErr w:type="gramEnd"/>
            <w:r w:rsidRPr="004116A4">
              <w:rPr>
                <w:rFonts w:ascii="Times New Roman" w:hAnsi="Times New Roman" w:cs="Times New Roman"/>
              </w:rPr>
              <w:t xml:space="preserve"> вероятность забивки насосного оборудования  и фильтра. </w:t>
            </w:r>
          </w:p>
          <w:p w:rsidR="003E7E2E" w:rsidRDefault="003E7E2E" w:rsidP="00983512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E7E2E" w:rsidRPr="004116A4" w:rsidRDefault="003E7E2E" w:rsidP="00983512">
            <w:pPr>
              <w:pStyle w:val="Style3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4116A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Недостатки отстаивания:</w:t>
            </w:r>
          </w:p>
          <w:p w:rsidR="003E7E2E" w:rsidRDefault="003E7E2E" w:rsidP="00983512">
            <w:pPr>
              <w:pStyle w:val="Style3"/>
              <w:widowControl/>
              <w:spacing w:line="240" w:lineRule="auto"/>
              <w:ind w:left="234" w:hanging="234"/>
              <w:rPr>
                <w:rFonts w:ascii="Times New Roman" w:hAnsi="Times New Roman" w:cs="Times New Roman"/>
              </w:rPr>
            </w:pPr>
            <w:r w:rsidRPr="004116A4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длительность процесса </w:t>
            </w:r>
            <w:r w:rsidRPr="004116A4">
              <w:rPr>
                <w:rFonts w:ascii="Times New Roman" w:hAnsi="Times New Roman" w:cs="Times New Roman"/>
              </w:rPr>
              <w:t>~ 12 часов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E7E2E" w:rsidRPr="004116A4" w:rsidRDefault="003E7E2E" w:rsidP="00983512">
            <w:pPr>
              <w:pStyle w:val="Style3"/>
              <w:widowControl/>
              <w:spacing w:line="240" w:lineRule="auto"/>
              <w:ind w:left="234" w:hanging="2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утилизация осадка (шлама).</w:t>
            </w:r>
          </w:p>
          <w:p w:rsidR="003E7E2E" w:rsidRDefault="003E7E2E" w:rsidP="00983512">
            <w:pPr>
              <w:pStyle w:val="Style3"/>
              <w:widowControl/>
              <w:spacing w:line="240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7E2E" w:rsidTr="00983512">
        <w:trPr>
          <w:jc w:val="center"/>
        </w:trPr>
        <w:tc>
          <w:tcPr>
            <w:tcW w:w="5436" w:type="dxa"/>
            <w:vAlign w:val="center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Рис.</w:t>
            </w:r>
            <w:r w:rsidRPr="005D5E51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2 - Качество осветления растворов некондиционного железного купороса </w:t>
            </w:r>
          </w:p>
          <w:p w:rsidR="003E7E2E" w:rsidRPr="005D5E51" w:rsidRDefault="003E7E2E" w:rsidP="00983512">
            <w:pPr>
              <w:pStyle w:val="Style3"/>
              <w:widowControl/>
              <w:tabs>
                <w:tab w:val="left" w:pos="141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 отстаивании</w:t>
            </w:r>
          </w:p>
        </w:tc>
        <w:tc>
          <w:tcPr>
            <w:tcW w:w="4417" w:type="dxa"/>
            <w:vMerge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7E2E" w:rsidRDefault="003E7E2E" w:rsidP="003E7E2E">
      <w:pPr>
        <w:pStyle w:val="Style3"/>
        <w:widowControl/>
        <w:tabs>
          <w:tab w:val="left" w:pos="1418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E2E" w:rsidRDefault="003E7E2E" w:rsidP="003E7E2E">
      <w:pPr>
        <w:pStyle w:val="Style3"/>
        <w:widowControl/>
        <w:tabs>
          <w:tab w:val="left" w:pos="1418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FA62AD">
        <w:rPr>
          <w:rFonts w:ascii="Times New Roman" w:hAnsi="Times New Roman" w:cs="Times New Roman"/>
          <w:b/>
          <w:sz w:val="28"/>
          <w:szCs w:val="28"/>
        </w:rPr>
        <w:t xml:space="preserve">.3 </w:t>
      </w:r>
      <w:r>
        <w:rPr>
          <w:rFonts w:ascii="Times New Roman" w:hAnsi="Times New Roman" w:cs="Times New Roman"/>
          <w:b/>
          <w:sz w:val="28"/>
          <w:szCs w:val="28"/>
        </w:rPr>
        <w:t xml:space="preserve">Интенсификация процесса осаждения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нерастворимых в воде примесей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более полного удаления из осветлённой части мелкодисперсных частиц, в осветлённые растворы №№ 2,3,5,6, вводили коагулянт - катионный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водорастворимый  </w:t>
      </w:r>
      <w:r w:rsidRPr="00376A13">
        <w:rPr>
          <w:rFonts w:ascii="Times New Roman" w:hAnsi="Times New Roman" w:cs="Times New Roman"/>
          <w:i/>
          <w:sz w:val="28"/>
          <w:szCs w:val="28"/>
        </w:rPr>
        <w:t>полиэлектролит</w:t>
      </w:r>
      <w:proofErr w:type="gramEnd"/>
      <w:r w:rsidRPr="00376A13">
        <w:rPr>
          <w:rFonts w:ascii="Times New Roman" w:hAnsi="Times New Roman" w:cs="Times New Roman"/>
          <w:i/>
          <w:sz w:val="28"/>
          <w:szCs w:val="28"/>
        </w:rPr>
        <w:t xml:space="preserve"> ВПК-402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Полиэлектролит ВПК-402 производится на АО «БСК» и представляет собой </w:t>
      </w:r>
      <w:r w:rsidRPr="003218D7">
        <w:rPr>
          <w:rFonts w:ascii="Times New Roman" w:hAnsi="Times New Roman" w:cs="Times New Roman"/>
          <w:sz w:val="28"/>
          <w:szCs w:val="28"/>
        </w:rPr>
        <w:t xml:space="preserve">высокомолекулярное соединение линейно-циклической структуры. </w:t>
      </w:r>
      <w:r w:rsidRPr="008D4D3B">
        <w:rPr>
          <w:rFonts w:ascii="Times New Roman" w:hAnsi="Times New Roman" w:cs="Times New Roman"/>
          <w:sz w:val="28"/>
          <w:szCs w:val="28"/>
        </w:rPr>
        <w:t xml:space="preserve">По физико-химическим показателям полиэлектролит ВПК-402 </w:t>
      </w:r>
      <w:r>
        <w:rPr>
          <w:rFonts w:ascii="Times New Roman" w:hAnsi="Times New Roman" w:cs="Times New Roman"/>
          <w:sz w:val="28"/>
          <w:szCs w:val="28"/>
        </w:rPr>
        <w:t>соответствует</w:t>
      </w:r>
      <w:r w:rsidRPr="008D4D3B">
        <w:rPr>
          <w:rFonts w:ascii="Times New Roman" w:hAnsi="Times New Roman" w:cs="Times New Roman"/>
          <w:sz w:val="28"/>
          <w:szCs w:val="28"/>
        </w:rPr>
        <w:t xml:space="preserve"> требованиям и</w:t>
      </w:r>
      <w:r>
        <w:rPr>
          <w:rFonts w:ascii="Times New Roman" w:hAnsi="Times New Roman" w:cs="Times New Roman"/>
          <w:sz w:val="28"/>
          <w:szCs w:val="28"/>
        </w:rPr>
        <w:t xml:space="preserve"> нормам ТУ 20.16.59-184-00203312-2021 (Приложение 3).</w:t>
      </w:r>
    </w:p>
    <w:p w:rsidR="003E7E2E" w:rsidRPr="00E81D55" w:rsidRDefault="003E7E2E" w:rsidP="003E7E2E">
      <w:pPr>
        <w:pStyle w:val="af0"/>
        <w:spacing w:line="276" w:lineRule="auto"/>
        <w:ind w:firstLine="709"/>
        <w:contextualSpacing/>
        <w:rPr>
          <w:szCs w:val="28"/>
        </w:rPr>
      </w:pPr>
      <w:r>
        <w:rPr>
          <w:szCs w:val="28"/>
        </w:rPr>
        <w:lastRenderedPageBreak/>
        <w:t xml:space="preserve">Из полиэлектролита ВПК-402, содержащего 33% основного вещества, приготовили 0,1% рабочий водный раствор. Рабочую </w:t>
      </w:r>
      <w:r w:rsidRPr="00E81D55">
        <w:rPr>
          <w:szCs w:val="28"/>
        </w:rPr>
        <w:t>доз</w:t>
      </w:r>
      <w:r>
        <w:rPr>
          <w:szCs w:val="28"/>
        </w:rPr>
        <w:t>ировку 0,1%-</w:t>
      </w:r>
      <w:proofErr w:type="spellStart"/>
      <w:r>
        <w:rPr>
          <w:szCs w:val="28"/>
        </w:rPr>
        <w:t>ного</w:t>
      </w:r>
      <w:proofErr w:type="spellEnd"/>
      <w:r>
        <w:rPr>
          <w:szCs w:val="28"/>
        </w:rPr>
        <w:t xml:space="preserve"> раствора </w:t>
      </w:r>
      <w:r w:rsidRPr="00E81D55">
        <w:rPr>
          <w:szCs w:val="28"/>
        </w:rPr>
        <w:t>полиэлектролита ВПК-402 подби</w:t>
      </w:r>
      <w:r>
        <w:rPr>
          <w:szCs w:val="28"/>
        </w:rPr>
        <w:t>рали</w:t>
      </w:r>
      <w:r w:rsidRPr="00E81D55">
        <w:rPr>
          <w:szCs w:val="28"/>
        </w:rPr>
        <w:t xml:space="preserve"> методом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Джар</w:t>
      </w:r>
      <w:proofErr w:type="spellEnd"/>
      <w:r>
        <w:rPr>
          <w:szCs w:val="28"/>
        </w:rPr>
        <w:t>-тест.</w:t>
      </w:r>
      <w:r w:rsidRPr="00E81D55">
        <w:rPr>
          <w:szCs w:val="28"/>
        </w:rPr>
        <w:t xml:space="preserve"> Время перемеши</w:t>
      </w:r>
      <w:r>
        <w:rPr>
          <w:szCs w:val="28"/>
        </w:rPr>
        <w:t>вания после добавления реагента</w:t>
      </w:r>
      <w:r w:rsidRPr="00E81D55">
        <w:rPr>
          <w:szCs w:val="28"/>
        </w:rPr>
        <w:t xml:space="preserve"> - 60 секунд, метод перемешивания – переливание. Визуально наблюдали за </w:t>
      </w:r>
      <w:r>
        <w:rPr>
          <w:szCs w:val="28"/>
        </w:rPr>
        <w:t xml:space="preserve">полнотой осаждения осадка и его плотностью. </w:t>
      </w:r>
      <w:r w:rsidRPr="00E81D55">
        <w:rPr>
          <w:szCs w:val="28"/>
        </w:rPr>
        <w:t xml:space="preserve"> </w:t>
      </w:r>
    </w:p>
    <w:p w:rsidR="003E7E2E" w:rsidRDefault="003E7E2E" w:rsidP="003E7E2E">
      <w:pPr>
        <w:spacing w:line="276" w:lineRule="auto"/>
        <w:ind w:firstLine="709"/>
      </w:pPr>
      <w:r>
        <w:t>При дозировании 0,</w:t>
      </w:r>
      <w:r w:rsidRPr="00E81D55">
        <w:t>1%</w:t>
      </w:r>
      <w:r>
        <w:t>-</w:t>
      </w:r>
      <w:proofErr w:type="spellStart"/>
      <w:r>
        <w:t>ного</w:t>
      </w:r>
      <w:proofErr w:type="spellEnd"/>
      <w:r>
        <w:t xml:space="preserve"> </w:t>
      </w:r>
      <w:r w:rsidRPr="00E81D55">
        <w:t>ВПК-402</w:t>
      </w:r>
      <w:r w:rsidRPr="00F85998">
        <w:t xml:space="preserve"> в количестве 0,1-0,5</w:t>
      </w:r>
      <w:r>
        <w:t xml:space="preserve">-0,75-1,0 </w:t>
      </w:r>
      <w:r w:rsidRPr="00F85998">
        <w:t>см</w:t>
      </w:r>
      <w:r w:rsidRPr="00F85998">
        <w:rPr>
          <w:vertAlign w:val="superscript"/>
        </w:rPr>
        <w:t xml:space="preserve">3 </w:t>
      </w:r>
      <w:r w:rsidRPr="00F85998">
        <w:t xml:space="preserve">на 250 </w:t>
      </w:r>
      <w:r w:rsidRPr="00E81D55">
        <w:t>см</w:t>
      </w:r>
      <w:r w:rsidRPr="00E81D55">
        <w:rPr>
          <w:vertAlign w:val="superscript"/>
        </w:rPr>
        <w:t>3</w:t>
      </w:r>
      <w:r w:rsidRPr="00E81D55">
        <w:t xml:space="preserve"> растворов</w:t>
      </w:r>
      <w:r>
        <w:t>,</w:t>
      </w:r>
      <w:r>
        <w:rPr>
          <w:vertAlign w:val="superscript"/>
        </w:rPr>
        <w:t xml:space="preserve"> </w:t>
      </w:r>
      <w:r w:rsidRPr="00F85998">
        <w:t>особых изменений</w:t>
      </w:r>
      <w:r>
        <w:t xml:space="preserve"> не зафиксировано: образуются распределенные</w:t>
      </w:r>
      <w:r w:rsidRPr="00F85998">
        <w:t xml:space="preserve"> по </w:t>
      </w:r>
      <w:r>
        <w:t xml:space="preserve">всему </w:t>
      </w:r>
      <w:r w:rsidRPr="00F85998">
        <w:t>объёму</w:t>
      </w:r>
      <w:r>
        <w:t xml:space="preserve"> мелкие </w:t>
      </w:r>
      <w:proofErr w:type="spellStart"/>
      <w:r>
        <w:t>флокулы</w:t>
      </w:r>
      <w:proofErr w:type="spellEnd"/>
      <w:r>
        <w:t xml:space="preserve">.  Скорость осаждения </w:t>
      </w:r>
      <w:proofErr w:type="spellStart"/>
      <w:r>
        <w:t>флокул</w:t>
      </w:r>
      <w:proofErr w:type="spellEnd"/>
      <w:r>
        <w:t xml:space="preserve"> низкая, растворы мутные (рис. 3</w:t>
      </w:r>
      <w:proofErr w:type="gramStart"/>
      <w:r>
        <w:t>) .</w:t>
      </w:r>
      <w:proofErr w:type="gramEnd"/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7"/>
        <w:gridCol w:w="3157"/>
        <w:gridCol w:w="3269"/>
      </w:tblGrid>
      <w:tr w:rsidR="003E7E2E" w:rsidTr="00983512">
        <w:trPr>
          <w:jc w:val="center"/>
        </w:trPr>
        <w:tc>
          <w:tcPr>
            <w:tcW w:w="3427" w:type="dxa"/>
            <w:vAlign w:val="center"/>
          </w:tcPr>
          <w:p w:rsidR="003E7E2E" w:rsidRDefault="003E7E2E" w:rsidP="00983512">
            <w:pPr>
              <w:spacing w:line="276" w:lineRule="auto"/>
              <w:jc w:val="center"/>
            </w:pPr>
            <w:r w:rsidRPr="00621673">
              <w:rPr>
                <w:sz w:val="24"/>
                <w:szCs w:val="24"/>
              </w:rPr>
              <w:object w:dxaOrig="1680" w:dyaOrig="2955">
                <v:shape id="_x0000_i1032" type="#_x0000_t75" style="width:108pt;height:147.75pt" o:ole="">
                  <v:imagedata r:id="rId21" o:title=""/>
                </v:shape>
                <o:OLEObject Type="Embed" ProgID="PBrush" ShapeID="_x0000_i1032" DrawAspect="Content" ObjectID="_1768649342" r:id="rId22"/>
              </w:object>
            </w:r>
          </w:p>
        </w:tc>
        <w:tc>
          <w:tcPr>
            <w:tcW w:w="3157" w:type="dxa"/>
            <w:vAlign w:val="center"/>
          </w:tcPr>
          <w:p w:rsidR="003E7E2E" w:rsidRDefault="003E7E2E" w:rsidP="00983512">
            <w:pPr>
              <w:spacing w:line="276" w:lineRule="auto"/>
              <w:jc w:val="center"/>
            </w:pPr>
            <w:r w:rsidRPr="00621673">
              <w:rPr>
                <w:sz w:val="24"/>
                <w:szCs w:val="24"/>
              </w:rPr>
              <w:object w:dxaOrig="1665" w:dyaOrig="2970">
                <v:shape id="_x0000_i1033" type="#_x0000_t75" style="width:101.25pt;height:148.5pt" o:ole="">
                  <v:imagedata r:id="rId23" o:title=""/>
                </v:shape>
                <o:OLEObject Type="Embed" ProgID="PBrush" ShapeID="_x0000_i1033" DrawAspect="Content" ObjectID="_1768649343" r:id="rId24"/>
              </w:object>
            </w:r>
          </w:p>
        </w:tc>
        <w:tc>
          <w:tcPr>
            <w:tcW w:w="3269" w:type="dxa"/>
            <w:vAlign w:val="center"/>
          </w:tcPr>
          <w:p w:rsidR="003E7E2E" w:rsidRDefault="003E7E2E" w:rsidP="00983512">
            <w:pPr>
              <w:spacing w:line="276" w:lineRule="auto"/>
              <w:jc w:val="center"/>
            </w:pPr>
            <w:r w:rsidRPr="00621673">
              <w:rPr>
                <w:sz w:val="24"/>
                <w:szCs w:val="24"/>
              </w:rPr>
              <w:object w:dxaOrig="1965" w:dyaOrig="2955">
                <v:shape id="_x0000_i1034" type="#_x0000_t75" style="width:98.25pt;height:147.75pt" o:ole="">
                  <v:imagedata r:id="rId25" o:title=""/>
                </v:shape>
                <o:OLEObject Type="Embed" ProgID="PBrush" ShapeID="_x0000_i1034" DrawAspect="Content" ObjectID="_1768649344" r:id="rId26"/>
              </w:object>
            </w:r>
          </w:p>
        </w:tc>
      </w:tr>
      <w:tr w:rsidR="003E7E2E" w:rsidTr="00983512">
        <w:trPr>
          <w:jc w:val="center"/>
        </w:trPr>
        <w:tc>
          <w:tcPr>
            <w:tcW w:w="3427" w:type="dxa"/>
            <w:vAlign w:val="center"/>
          </w:tcPr>
          <w:p w:rsidR="003E7E2E" w:rsidRDefault="003E7E2E" w:rsidP="00983512">
            <w:pPr>
              <w:spacing w:line="276" w:lineRule="auto"/>
              <w:jc w:val="center"/>
            </w:pPr>
            <w:r>
              <w:t>№2</w:t>
            </w:r>
          </w:p>
        </w:tc>
        <w:tc>
          <w:tcPr>
            <w:tcW w:w="3157" w:type="dxa"/>
            <w:vAlign w:val="center"/>
          </w:tcPr>
          <w:p w:rsidR="003E7E2E" w:rsidRDefault="003E7E2E" w:rsidP="00983512">
            <w:pPr>
              <w:spacing w:line="276" w:lineRule="auto"/>
              <w:jc w:val="center"/>
            </w:pPr>
            <w:r>
              <w:t>№3</w:t>
            </w:r>
          </w:p>
        </w:tc>
        <w:tc>
          <w:tcPr>
            <w:tcW w:w="3269" w:type="dxa"/>
            <w:vAlign w:val="center"/>
          </w:tcPr>
          <w:p w:rsidR="003E7E2E" w:rsidRDefault="003E7E2E" w:rsidP="00983512">
            <w:pPr>
              <w:spacing w:line="276" w:lineRule="auto"/>
              <w:jc w:val="center"/>
            </w:pPr>
            <w:r>
              <w:t>№6</w:t>
            </w:r>
          </w:p>
        </w:tc>
      </w:tr>
      <w:tr w:rsidR="003E7E2E" w:rsidTr="00983512">
        <w:trPr>
          <w:jc w:val="center"/>
        </w:trPr>
        <w:tc>
          <w:tcPr>
            <w:tcW w:w="9853" w:type="dxa"/>
            <w:gridSpan w:val="3"/>
            <w:vAlign w:val="center"/>
          </w:tcPr>
          <w:p w:rsidR="003E7E2E" w:rsidRPr="00B529A7" w:rsidRDefault="003E7E2E" w:rsidP="0098351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529A7">
              <w:rPr>
                <w:b/>
                <w:sz w:val="24"/>
                <w:szCs w:val="24"/>
              </w:rPr>
              <w:t>Рис. 3 - Дозировка 0,1%-</w:t>
            </w:r>
            <w:proofErr w:type="spellStart"/>
            <w:r w:rsidRPr="00B529A7">
              <w:rPr>
                <w:b/>
                <w:sz w:val="24"/>
                <w:szCs w:val="24"/>
              </w:rPr>
              <w:t>ного</w:t>
            </w:r>
            <w:proofErr w:type="spellEnd"/>
            <w:r w:rsidRPr="00B529A7">
              <w:rPr>
                <w:b/>
                <w:sz w:val="24"/>
                <w:szCs w:val="24"/>
              </w:rPr>
              <w:t xml:space="preserve"> ВПК-402 в количестве 1,0 см</w:t>
            </w:r>
            <w:r w:rsidRPr="00B529A7">
              <w:rPr>
                <w:b/>
                <w:sz w:val="24"/>
                <w:szCs w:val="24"/>
                <w:vertAlign w:val="superscript"/>
              </w:rPr>
              <w:t>3</w:t>
            </w:r>
            <w:r w:rsidRPr="00B529A7">
              <w:rPr>
                <w:b/>
                <w:sz w:val="24"/>
                <w:szCs w:val="24"/>
              </w:rPr>
              <w:t xml:space="preserve"> на 250 см</w:t>
            </w:r>
            <w:r w:rsidRPr="00B529A7">
              <w:rPr>
                <w:b/>
                <w:sz w:val="24"/>
                <w:szCs w:val="24"/>
                <w:vertAlign w:val="superscript"/>
              </w:rPr>
              <w:t>3</w:t>
            </w:r>
            <w:r w:rsidRPr="00B529A7">
              <w:rPr>
                <w:b/>
                <w:sz w:val="24"/>
                <w:szCs w:val="24"/>
              </w:rPr>
              <w:t xml:space="preserve"> раствора</w:t>
            </w:r>
          </w:p>
        </w:tc>
      </w:tr>
    </w:tbl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3F7B">
        <w:rPr>
          <w:rFonts w:ascii="Times New Roman" w:hAnsi="Times New Roman" w:cs="Times New Roman"/>
          <w:sz w:val="28"/>
          <w:szCs w:val="28"/>
        </w:rPr>
        <w:t xml:space="preserve">Наилучшие результаты достигнуты с </w:t>
      </w:r>
      <w:proofErr w:type="gramStart"/>
      <w:r w:rsidRPr="00273F7B">
        <w:rPr>
          <w:rFonts w:ascii="Times New Roman" w:hAnsi="Times New Roman" w:cs="Times New Roman"/>
          <w:sz w:val="28"/>
          <w:szCs w:val="28"/>
        </w:rPr>
        <w:t>дозировкой  0</w:t>
      </w:r>
      <w:proofErr w:type="gramEnd"/>
      <w:r w:rsidRPr="00273F7B">
        <w:rPr>
          <w:rFonts w:ascii="Times New Roman" w:hAnsi="Times New Roman" w:cs="Times New Roman"/>
          <w:sz w:val="28"/>
          <w:szCs w:val="28"/>
        </w:rPr>
        <w:t>,1% ВПК-402 в количестве 1,0-1,5-2,0 см</w:t>
      </w:r>
      <w:r w:rsidRPr="00273F7B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273F7B">
        <w:rPr>
          <w:rFonts w:ascii="Times New Roman" w:hAnsi="Times New Roman" w:cs="Times New Roman"/>
          <w:sz w:val="28"/>
          <w:szCs w:val="28"/>
        </w:rPr>
        <w:t>на 250 см</w:t>
      </w:r>
      <w:r w:rsidRPr="00273F7B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растворов (рис.</w:t>
      </w:r>
      <w:r w:rsidRPr="00273F7B">
        <w:rPr>
          <w:rFonts w:ascii="Times New Roman" w:hAnsi="Times New Roman" w:cs="Times New Roman"/>
          <w:sz w:val="28"/>
          <w:szCs w:val="28"/>
        </w:rPr>
        <w:t xml:space="preserve"> 4). </w:t>
      </w:r>
      <w:r>
        <w:rPr>
          <w:rFonts w:ascii="Times New Roman" w:hAnsi="Times New Roman" w:cs="Times New Roman"/>
          <w:sz w:val="28"/>
          <w:szCs w:val="28"/>
        </w:rPr>
        <w:t xml:space="preserve">Образуются крупные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</w:t>
      </w:r>
      <w:r w:rsidRPr="00273F7B">
        <w:rPr>
          <w:rFonts w:ascii="Times New Roman" w:hAnsi="Times New Roman" w:cs="Times New Roman"/>
          <w:sz w:val="28"/>
          <w:szCs w:val="28"/>
        </w:rPr>
        <w:t>кулы</w:t>
      </w:r>
      <w:proofErr w:type="spellEnd"/>
      <w:r w:rsidRPr="00273F7B">
        <w:rPr>
          <w:rFonts w:ascii="Times New Roman" w:hAnsi="Times New Roman" w:cs="Times New Roman"/>
          <w:sz w:val="28"/>
          <w:szCs w:val="28"/>
        </w:rPr>
        <w:t xml:space="preserve">, скорость осаждения взвешенных частиц заметно увеличивается.  Для наглядности процесса осветления, </w:t>
      </w:r>
      <w:r>
        <w:rPr>
          <w:rFonts w:ascii="Times New Roman" w:hAnsi="Times New Roman" w:cs="Times New Roman"/>
          <w:sz w:val="28"/>
          <w:szCs w:val="28"/>
        </w:rPr>
        <w:t xml:space="preserve">приведены </w:t>
      </w:r>
      <w:r w:rsidRPr="00273F7B">
        <w:rPr>
          <w:rFonts w:ascii="Times New Roman" w:hAnsi="Times New Roman" w:cs="Times New Roman"/>
          <w:sz w:val="28"/>
          <w:szCs w:val="28"/>
        </w:rPr>
        <w:t>менее окрашенные</w:t>
      </w:r>
      <w:r>
        <w:rPr>
          <w:rFonts w:ascii="Times New Roman" w:hAnsi="Times New Roman" w:cs="Times New Roman"/>
          <w:sz w:val="28"/>
          <w:szCs w:val="28"/>
        </w:rPr>
        <w:t xml:space="preserve"> растворы - №№2,3,5,6.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167"/>
        <w:gridCol w:w="2280"/>
        <w:gridCol w:w="2409"/>
      </w:tblGrid>
      <w:tr w:rsidR="003E7E2E" w:rsidTr="00983512"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5FD7">
              <w:object w:dxaOrig="3585" w:dyaOrig="2880">
                <v:shape id="_x0000_i1035" type="#_x0000_t75" style="width:247.5pt;height:218.25pt" o:ole="">
                  <v:imagedata r:id="rId27" o:title=""/>
                </v:shape>
                <o:OLEObject Type="Embed" ProgID="PBrush" ShapeID="_x0000_i1035" DrawAspect="Content" ObjectID="_1768649345" r:id="rId28"/>
              </w:objec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5FD7">
              <w:object w:dxaOrig="1650" w:dyaOrig="2820">
                <v:shape id="_x0000_i1036" type="#_x0000_t75" style="width:93pt;height:219.75pt" o:ole="">
                  <v:imagedata r:id="rId29" o:title=""/>
                </v:shape>
                <o:OLEObject Type="Embed" ProgID="PBrush" ShapeID="_x0000_i1036" DrawAspect="Content" ObjectID="_1768649346" r:id="rId30"/>
              </w:objec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B5FD7">
              <w:object w:dxaOrig="1485" w:dyaOrig="2865">
                <v:shape id="_x0000_i1037" type="#_x0000_t75" style="width:102pt;height:218.25pt" o:ole="">
                  <v:imagedata r:id="rId31" o:title=""/>
                </v:shape>
                <o:OLEObject Type="Embed" ProgID="PBrush" ShapeID="_x0000_i1037" DrawAspect="Content" ObjectID="_1768649347" r:id="rId32"/>
              </w:object>
            </w:r>
          </w:p>
        </w:tc>
      </w:tr>
      <w:tr w:rsidR="003E7E2E" w:rsidTr="00983512">
        <w:tc>
          <w:tcPr>
            <w:tcW w:w="98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E7E2E" w:rsidRPr="00B529A7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529A7">
              <w:rPr>
                <w:rFonts w:ascii="Times New Roman" w:hAnsi="Times New Roman" w:cs="Times New Roman"/>
                <w:b/>
              </w:rPr>
              <w:t>Рис. 4 - Дозировка 0,1%-</w:t>
            </w:r>
            <w:proofErr w:type="spellStart"/>
            <w:r w:rsidRPr="00B529A7">
              <w:rPr>
                <w:rFonts w:ascii="Times New Roman" w:hAnsi="Times New Roman" w:cs="Times New Roman"/>
                <w:b/>
              </w:rPr>
              <w:t>ного</w:t>
            </w:r>
            <w:proofErr w:type="spellEnd"/>
            <w:r w:rsidRPr="00B529A7">
              <w:rPr>
                <w:rFonts w:ascii="Times New Roman" w:hAnsi="Times New Roman" w:cs="Times New Roman"/>
                <w:b/>
              </w:rPr>
              <w:t xml:space="preserve"> ВПК-402 в количестве 2,0 см</w:t>
            </w:r>
            <w:r w:rsidRPr="00B529A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B529A7">
              <w:rPr>
                <w:rFonts w:ascii="Times New Roman" w:hAnsi="Times New Roman" w:cs="Times New Roman"/>
                <w:b/>
              </w:rPr>
              <w:t xml:space="preserve"> на 250 см</w:t>
            </w:r>
            <w:r w:rsidRPr="00B529A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B529A7">
              <w:rPr>
                <w:rFonts w:ascii="Times New Roman" w:hAnsi="Times New Roman" w:cs="Times New Roman"/>
                <w:b/>
              </w:rPr>
              <w:t xml:space="preserve"> раствора</w:t>
            </w:r>
          </w:p>
        </w:tc>
      </w:tr>
    </w:tbl>
    <w:p w:rsidR="003E7E2E" w:rsidRPr="00273F7B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E7E2E" w:rsidRDefault="003E7E2E" w:rsidP="003E7E2E">
      <w:pPr>
        <w:pStyle w:val="af0"/>
        <w:spacing w:line="276" w:lineRule="auto"/>
        <w:ind w:firstLine="709"/>
        <w:contextualSpacing/>
        <w:rPr>
          <w:szCs w:val="28"/>
        </w:rPr>
      </w:pPr>
      <w:r>
        <w:rPr>
          <w:szCs w:val="28"/>
        </w:rPr>
        <w:lastRenderedPageBreak/>
        <w:t>У</w:t>
      </w:r>
      <w:r w:rsidRPr="008F5CED">
        <w:rPr>
          <w:szCs w:val="28"/>
        </w:rPr>
        <w:t xml:space="preserve">величение дозировки </w:t>
      </w:r>
      <w:r>
        <w:rPr>
          <w:szCs w:val="28"/>
        </w:rPr>
        <w:t xml:space="preserve">0,1 % </w:t>
      </w:r>
      <w:r w:rsidRPr="008F5CED">
        <w:rPr>
          <w:szCs w:val="28"/>
        </w:rPr>
        <w:t>ВПК-</w:t>
      </w:r>
      <w:proofErr w:type="gramStart"/>
      <w:r w:rsidRPr="008F5CED">
        <w:rPr>
          <w:szCs w:val="28"/>
        </w:rPr>
        <w:t xml:space="preserve">402 </w:t>
      </w:r>
      <w:r>
        <w:rPr>
          <w:szCs w:val="28"/>
        </w:rPr>
        <w:t xml:space="preserve"> более</w:t>
      </w:r>
      <w:proofErr w:type="gramEnd"/>
      <w:r>
        <w:rPr>
          <w:szCs w:val="28"/>
        </w:rPr>
        <w:t xml:space="preserve"> 2,0</w:t>
      </w:r>
      <w:r w:rsidRPr="008F5CED">
        <w:rPr>
          <w:szCs w:val="28"/>
        </w:rPr>
        <w:t xml:space="preserve"> см</w:t>
      </w:r>
      <w:r w:rsidRPr="008F5CED">
        <w:rPr>
          <w:szCs w:val="28"/>
          <w:vertAlign w:val="superscript"/>
        </w:rPr>
        <w:t>3</w:t>
      </w:r>
      <w:r>
        <w:rPr>
          <w:szCs w:val="28"/>
          <w:vertAlign w:val="superscript"/>
        </w:rPr>
        <w:t xml:space="preserve"> </w:t>
      </w:r>
      <w:r>
        <w:rPr>
          <w:szCs w:val="28"/>
        </w:rPr>
        <w:t>на</w:t>
      </w:r>
      <w:r>
        <w:rPr>
          <w:szCs w:val="28"/>
          <w:vertAlign w:val="superscript"/>
        </w:rPr>
        <w:t xml:space="preserve"> </w:t>
      </w:r>
      <w:r w:rsidRPr="00F85998">
        <w:rPr>
          <w:szCs w:val="28"/>
        </w:rPr>
        <w:t xml:space="preserve">250 </w:t>
      </w:r>
      <w:r w:rsidRPr="00E81D55">
        <w:rPr>
          <w:szCs w:val="28"/>
        </w:rPr>
        <w:t>см</w:t>
      </w:r>
      <w:r w:rsidRPr="00E81D55">
        <w:rPr>
          <w:szCs w:val="28"/>
          <w:vertAlign w:val="superscript"/>
        </w:rPr>
        <w:t>3</w:t>
      </w:r>
      <w:r>
        <w:rPr>
          <w:szCs w:val="28"/>
          <w:vertAlign w:val="superscript"/>
        </w:rPr>
        <w:t xml:space="preserve"> </w:t>
      </w:r>
      <w:r>
        <w:rPr>
          <w:szCs w:val="28"/>
        </w:rPr>
        <w:t xml:space="preserve">раствора </w:t>
      </w:r>
      <w:r w:rsidRPr="008F5CED">
        <w:rPr>
          <w:szCs w:val="28"/>
        </w:rPr>
        <w:t xml:space="preserve">приводит к </w:t>
      </w:r>
      <w:r>
        <w:rPr>
          <w:szCs w:val="28"/>
        </w:rPr>
        <w:t>увеличению мутности</w:t>
      </w:r>
      <w:r w:rsidRPr="008F5CED">
        <w:rPr>
          <w:szCs w:val="28"/>
        </w:rPr>
        <w:t xml:space="preserve"> осветленной части</w:t>
      </w:r>
      <w:r>
        <w:rPr>
          <w:szCs w:val="28"/>
        </w:rPr>
        <w:t xml:space="preserve">, мелкодисперсные взвешенные частицы стабилизируются в объёме раствора, </w:t>
      </w:r>
      <w:r w:rsidRPr="008F5CED">
        <w:rPr>
          <w:szCs w:val="28"/>
        </w:rPr>
        <w:t>осажде</w:t>
      </w:r>
      <w:r>
        <w:rPr>
          <w:szCs w:val="28"/>
        </w:rPr>
        <w:t>ние</w:t>
      </w:r>
      <w:r w:rsidRPr="008F5CED">
        <w:rPr>
          <w:szCs w:val="28"/>
        </w:rPr>
        <w:t xml:space="preserve"> взвешенных частиц </w:t>
      </w:r>
      <w:r>
        <w:rPr>
          <w:szCs w:val="28"/>
        </w:rPr>
        <w:t xml:space="preserve">не происходит.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добавления рабочей дозировки 0,1%-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раствора ВПК-402,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растворы  тщательно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перемешали и оставили на 12 часов для отстаивания и осаждения взвешенных частиц. После отстаивания в осветленной части определили содержание взвешенных веществ. Результаты приведены в табл.2. </w:t>
      </w:r>
    </w:p>
    <w:p w:rsidR="003E7E2E" w:rsidRPr="004E7978" w:rsidRDefault="003E7E2E" w:rsidP="003E7E2E">
      <w:pPr>
        <w:pStyle w:val="Style3"/>
        <w:widowControl/>
        <w:tabs>
          <w:tab w:val="left" w:pos="1418"/>
        </w:tabs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7978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E7978">
        <w:rPr>
          <w:rFonts w:ascii="Times New Roman" w:hAnsi="Times New Roman" w:cs="Times New Roman"/>
          <w:sz w:val="28"/>
          <w:szCs w:val="28"/>
        </w:rPr>
        <w:t xml:space="preserve"> – Содержание </w:t>
      </w:r>
      <w:proofErr w:type="gramStart"/>
      <w:r w:rsidRPr="004E7978">
        <w:rPr>
          <w:rFonts w:ascii="Times New Roman" w:hAnsi="Times New Roman" w:cs="Times New Roman"/>
          <w:sz w:val="28"/>
          <w:szCs w:val="28"/>
        </w:rPr>
        <w:t xml:space="preserve">взвешенных  </w:t>
      </w:r>
      <w:r>
        <w:rPr>
          <w:rFonts w:ascii="Times New Roman" w:hAnsi="Times New Roman" w:cs="Times New Roman"/>
          <w:sz w:val="28"/>
          <w:szCs w:val="28"/>
        </w:rPr>
        <w:t>частиц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978">
        <w:rPr>
          <w:rFonts w:ascii="Times New Roman" w:hAnsi="Times New Roman" w:cs="Times New Roman"/>
          <w:sz w:val="28"/>
          <w:szCs w:val="28"/>
        </w:rPr>
        <w:t>(мг/дм</w:t>
      </w:r>
      <w:r w:rsidRPr="004E797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E7978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b"/>
        <w:tblW w:w="9644" w:type="dxa"/>
        <w:jc w:val="center"/>
        <w:tblLook w:val="04A0" w:firstRow="1" w:lastRow="0" w:firstColumn="1" w:lastColumn="0" w:noHBand="0" w:noVBand="1"/>
      </w:tblPr>
      <w:tblGrid>
        <w:gridCol w:w="3823"/>
        <w:gridCol w:w="1046"/>
        <w:gridCol w:w="947"/>
        <w:gridCol w:w="992"/>
        <w:gridCol w:w="992"/>
        <w:gridCol w:w="852"/>
        <w:gridCol w:w="992"/>
      </w:tblGrid>
      <w:tr w:rsidR="003E7E2E" w:rsidRPr="00273F7B" w:rsidTr="00983512">
        <w:trPr>
          <w:jc w:val="center"/>
        </w:trPr>
        <w:tc>
          <w:tcPr>
            <w:tcW w:w="3823" w:type="dxa"/>
            <w:vMerge w:val="restart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F7B"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5821" w:type="dxa"/>
            <w:gridSpan w:val="6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F7B">
              <w:rPr>
                <w:rFonts w:ascii="Times New Roman" w:hAnsi="Times New Roman" w:cs="Times New Roman"/>
                <w:sz w:val="28"/>
                <w:szCs w:val="28"/>
              </w:rPr>
              <w:t>Номер образца</w:t>
            </w:r>
          </w:p>
        </w:tc>
      </w:tr>
      <w:tr w:rsidR="003E7E2E" w:rsidRPr="00273F7B" w:rsidTr="00983512">
        <w:trPr>
          <w:jc w:val="center"/>
        </w:trPr>
        <w:tc>
          <w:tcPr>
            <w:tcW w:w="3823" w:type="dxa"/>
            <w:vMerge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6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F7B">
              <w:rPr>
                <w:rFonts w:ascii="Times New Roman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947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F7B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992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F7B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992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F7B">
              <w:rPr>
                <w:rFonts w:ascii="Times New Roman" w:hAnsi="Times New Roman" w:cs="Times New Roman"/>
                <w:sz w:val="28"/>
                <w:szCs w:val="28"/>
              </w:rPr>
              <w:t>№5</w:t>
            </w:r>
          </w:p>
        </w:tc>
        <w:tc>
          <w:tcPr>
            <w:tcW w:w="852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F7B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992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F7B"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</w:tr>
      <w:tr w:rsidR="003E7E2E" w:rsidRPr="00273F7B" w:rsidTr="00983512">
        <w:trPr>
          <w:jc w:val="center"/>
        </w:trPr>
        <w:tc>
          <w:tcPr>
            <w:tcW w:w="3823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73F7B">
              <w:rPr>
                <w:rFonts w:ascii="Times New Roman" w:hAnsi="Times New Roman" w:cs="Times New Roman"/>
                <w:sz w:val="28"/>
                <w:szCs w:val="28"/>
              </w:rPr>
              <w:t xml:space="preserve">После отстаивания </w:t>
            </w:r>
          </w:p>
        </w:tc>
        <w:tc>
          <w:tcPr>
            <w:tcW w:w="1046" w:type="dxa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140,6</w:t>
            </w:r>
          </w:p>
        </w:tc>
        <w:tc>
          <w:tcPr>
            <w:tcW w:w="947" w:type="dxa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230,4</w:t>
            </w:r>
          </w:p>
        </w:tc>
        <w:tc>
          <w:tcPr>
            <w:tcW w:w="992" w:type="dxa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184,1</w:t>
            </w:r>
          </w:p>
        </w:tc>
        <w:tc>
          <w:tcPr>
            <w:tcW w:w="992" w:type="dxa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121,8</w:t>
            </w:r>
          </w:p>
        </w:tc>
        <w:tc>
          <w:tcPr>
            <w:tcW w:w="852" w:type="dxa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85,5</w:t>
            </w:r>
          </w:p>
        </w:tc>
        <w:tc>
          <w:tcPr>
            <w:tcW w:w="992" w:type="dxa"/>
          </w:tcPr>
          <w:p w:rsidR="003E7E2E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206,8</w:t>
            </w:r>
          </w:p>
        </w:tc>
      </w:tr>
      <w:tr w:rsidR="003E7E2E" w:rsidRPr="00273F7B" w:rsidTr="00983512">
        <w:trPr>
          <w:jc w:val="center"/>
        </w:trPr>
        <w:tc>
          <w:tcPr>
            <w:tcW w:w="3823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73F7B">
              <w:rPr>
                <w:rFonts w:ascii="Times New Roman" w:hAnsi="Times New Roman" w:cs="Times New Roman"/>
                <w:sz w:val="28"/>
                <w:szCs w:val="28"/>
              </w:rPr>
              <w:t>После  дозирования</w:t>
            </w:r>
            <w:proofErr w:type="gramEnd"/>
            <w:r w:rsidRPr="00273F7B">
              <w:rPr>
                <w:rFonts w:ascii="Times New Roman" w:hAnsi="Times New Roman" w:cs="Times New Roman"/>
                <w:sz w:val="28"/>
                <w:szCs w:val="28"/>
              </w:rPr>
              <w:t xml:space="preserve"> ВПК-402</w:t>
            </w:r>
          </w:p>
        </w:tc>
        <w:tc>
          <w:tcPr>
            <w:tcW w:w="1046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947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992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992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852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992" w:type="dxa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</w:tr>
      <w:tr w:rsidR="003E7E2E" w:rsidRPr="00273F7B" w:rsidTr="00983512">
        <w:trPr>
          <w:jc w:val="center"/>
        </w:trPr>
        <w:tc>
          <w:tcPr>
            <w:tcW w:w="3823" w:type="dxa"/>
            <w:shd w:val="clear" w:color="auto" w:fill="FDE9D9" w:themeFill="accent6" w:themeFillTint="33"/>
            <w:vAlign w:val="center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73F7B">
              <w:rPr>
                <w:rFonts w:ascii="Times New Roman" w:hAnsi="Times New Roman" w:cs="Times New Roman"/>
                <w:sz w:val="28"/>
                <w:szCs w:val="28"/>
              </w:rPr>
              <w:t>Степень осветления, %</w:t>
            </w:r>
          </w:p>
        </w:tc>
        <w:tc>
          <w:tcPr>
            <w:tcW w:w="1046" w:type="dxa"/>
            <w:shd w:val="clear" w:color="auto" w:fill="FDE9D9" w:themeFill="accent6" w:themeFillTint="33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F7B">
              <w:rPr>
                <w:rFonts w:ascii="Times New Roman" w:hAnsi="Times New Roman" w:cs="Times New Roman"/>
                <w:sz w:val="28"/>
                <w:szCs w:val="28"/>
              </w:rPr>
              <w:t>90,7</w:t>
            </w:r>
          </w:p>
        </w:tc>
        <w:tc>
          <w:tcPr>
            <w:tcW w:w="947" w:type="dxa"/>
            <w:shd w:val="clear" w:color="auto" w:fill="FDE9D9" w:themeFill="accent6" w:themeFillTint="33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F7B">
              <w:rPr>
                <w:rFonts w:ascii="Times New Roman" w:hAnsi="Times New Roman" w:cs="Times New Roman"/>
                <w:sz w:val="28"/>
                <w:szCs w:val="28"/>
              </w:rPr>
              <w:t>95,6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94,5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87,7</w:t>
            </w:r>
          </w:p>
        </w:tc>
        <w:tc>
          <w:tcPr>
            <w:tcW w:w="852" w:type="dxa"/>
            <w:shd w:val="clear" w:color="auto" w:fill="FDE9D9" w:themeFill="accent6" w:themeFillTint="33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76,6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3E7E2E" w:rsidRPr="00273F7B" w:rsidRDefault="003E7E2E" w:rsidP="00983512">
            <w:pPr>
              <w:pStyle w:val="Style3"/>
              <w:widowControl/>
              <w:tabs>
                <w:tab w:val="left" w:pos="1418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94,2</w:t>
            </w:r>
          </w:p>
        </w:tc>
      </w:tr>
    </w:tbl>
    <w:p w:rsidR="003E7E2E" w:rsidRDefault="003E7E2E" w:rsidP="003E7E2E">
      <w:pPr>
        <w:pStyle w:val="Style3"/>
        <w:widowControl/>
        <w:tabs>
          <w:tab w:val="left" w:pos="1418"/>
        </w:tabs>
        <w:spacing w:before="24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Экспериментальные данные, приведённые в таблице 2</w:t>
      </w:r>
      <w:r w:rsidRPr="00253D5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свидетельствуют</w:t>
      </w:r>
      <w:r w:rsidRPr="00253D55">
        <w:rPr>
          <w:rFonts w:ascii="Times New Roman" w:hAnsi="Times New Roman" w:cs="Times New Roman"/>
          <w:sz w:val="28"/>
          <w:szCs w:val="28"/>
        </w:rPr>
        <w:t xml:space="preserve">, что содержание взвешенных частиц в </w:t>
      </w:r>
      <w:r>
        <w:rPr>
          <w:rFonts w:ascii="Times New Roman" w:hAnsi="Times New Roman" w:cs="Times New Roman"/>
          <w:sz w:val="28"/>
          <w:szCs w:val="28"/>
        </w:rPr>
        <w:t xml:space="preserve">водных </w:t>
      </w:r>
      <w:r w:rsidRPr="00253D55">
        <w:rPr>
          <w:rFonts w:ascii="Times New Roman" w:hAnsi="Times New Roman" w:cs="Times New Roman"/>
          <w:sz w:val="28"/>
          <w:szCs w:val="28"/>
        </w:rPr>
        <w:t>растворах некондиционного</w:t>
      </w:r>
      <w:r>
        <w:rPr>
          <w:rFonts w:ascii="Times New Roman" w:hAnsi="Times New Roman" w:cs="Times New Roman"/>
          <w:sz w:val="28"/>
          <w:szCs w:val="28"/>
        </w:rPr>
        <w:t xml:space="preserve"> сульфата железа </w:t>
      </w:r>
      <w:r w:rsidRPr="00253D55">
        <w:rPr>
          <w:rFonts w:ascii="Times New Roman" w:hAnsi="Times New Roman" w:cs="Times New Roman"/>
          <w:sz w:val="28"/>
          <w:szCs w:val="28"/>
        </w:rPr>
        <w:t xml:space="preserve">можно минимизировать </w:t>
      </w:r>
      <w:r>
        <w:rPr>
          <w:rFonts w:ascii="Times New Roman" w:hAnsi="Times New Roman" w:cs="Times New Roman"/>
          <w:sz w:val="28"/>
          <w:szCs w:val="28"/>
        </w:rPr>
        <w:t xml:space="preserve">путем </w:t>
      </w:r>
      <w:r w:rsidRPr="00253D55">
        <w:rPr>
          <w:rFonts w:ascii="Times New Roman" w:hAnsi="Times New Roman" w:cs="Times New Roman"/>
          <w:sz w:val="28"/>
          <w:szCs w:val="28"/>
        </w:rPr>
        <w:t>отс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53D55">
        <w:rPr>
          <w:rFonts w:ascii="Times New Roman" w:hAnsi="Times New Roman" w:cs="Times New Roman"/>
          <w:sz w:val="28"/>
          <w:szCs w:val="28"/>
        </w:rPr>
        <w:t>аиван</w:t>
      </w:r>
      <w:r>
        <w:rPr>
          <w:rFonts w:ascii="Times New Roman" w:hAnsi="Times New Roman" w:cs="Times New Roman"/>
          <w:sz w:val="28"/>
          <w:szCs w:val="28"/>
        </w:rPr>
        <w:t xml:space="preserve">ия. </w:t>
      </w:r>
    </w:p>
    <w:p w:rsidR="003E7E2E" w:rsidRPr="00D6543D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Для интенсификации осаждения взвешенных частиц из растворов возможно использование 0,1%-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раствора полиэлектролита ВПК-402 с рабочей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дозировкой  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на 1 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D6543D">
        <w:rPr>
          <w:rFonts w:ascii="Times New Roman" w:hAnsi="Times New Roman" w:cs="Times New Roman"/>
          <w:sz w:val="28"/>
          <w:szCs w:val="28"/>
        </w:rPr>
        <w:t>раствора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54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E2E" w:rsidRDefault="003E7E2E" w:rsidP="003E7E2E">
      <w:pPr>
        <w:pStyle w:val="Style3"/>
        <w:widowControl/>
        <w:tabs>
          <w:tab w:val="left" w:pos="1418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 Содержание сульфата железа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53D5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в растворах,</w:t>
      </w:r>
    </w:p>
    <w:p w:rsidR="003E7E2E" w:rsidRPr="0076098E" w:rsidRDefault="003E7E2E" w:rsidP="003E7E2E">
      <w:pPr>
        <w:pStyle w:val="Style3"/>
        <w:widowControl/>
        <w:tabs>
          <w:tab w:val="left" w:pos="1418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полученных растворением некондиционного сульфата железа в воде</w:t>
      </w:r>
    </w:p>
    <w:p w:rsidR="003E7E2E" w:rsidRPr="00FC0EC8" w:rsidRDefault="003E7E2E" w:rsidP="003E7E2E">
      <w:pPr>
        <w:pStyle w:val="Style3"/>
        <w:widowControl/>
        <w:tabs>
          <w:tab w:val="left" w:pos="1418"/>
        </w:tabs>
        <w:spacing w:before="24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растворах, приготовленных путем растворения в воде отобранных кусков-образцов </w:t>
      </w:r>
      <w:r w:rsidRPr="0063416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№№1÷7</w:t>
      </w:r>
      <w:r w:rsidRPr="0063416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определили содержание основного вещества </w:t>
      </w:r>
      <w:r w:rsidRPr="00CE0C91">
        <w:rPr>
          <w:rFonts w:ascii="Times New Roman" w:hAnsi="Times New Roman" w:cs="Times New Roman"/>
          <w:sz w:val="28"/>
          <w:szCs w:val="28"/>
        </w:rPr>
        <w:t>- сульфата железа (</w:t>
      </w:r>
      <w:r w:rsidRPr="00CE0C9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E0C9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Результаты анализа приведены в табл.3. </w:t>
      </w:r>
    </w:p>
    <w:p w:rsidR="003E7E2E" w:rsidRPr="00D136D3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6D3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 xml:space="preserve">3 – Содержание </w:t>
      </w:r>
      <w:r w:rsidRPr="004979DD">
        <w:rPr>
          <w:rFonts w:ascii="Times New Roman" w:hAnsi="Times New Roman" w:cs="Times New Roman"/>
          <w:sz w:val="28"/>
          <w:szCs w:val="28"/>
        </w:rPr>
        <w:t xml:space="preserve">сульфата железа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F5B68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b"/>
        <w:tblW w:w="10010" w:type="dxa"/>
        <w:jc w:val="center"/>
        <w:tblLook w:val="04A0" w:firstRow="1" w:lastRow="0" w:firstColumn="1" w:lastColumn="0" w:noHBand="0" w:noVBand="1"/>
      </w:tblPr>
      <w:tblGrid>
        <w:gridCol w:w="2943"/>
        <w:gridCol w:w="1021"/>
        <w:gridCol w:w="1021"/>
        <w:gridCol w:w="1021"/>
        <w:gridCol w:w="940"/>
        <w:gridCol w:w="1021"/>
        <w:gridCol w:w="1021"/>
        <w:gridCol w:w="1022"/>
      </w:tblGrid>
      <w:tr w:rsidR="003E7E2E" w:rsidRPr="00B846FE" w:rsidTr="00983512">
        <w:trPr>
          <w:jc w:val="center"/>
        </w:trPr>
        <w:tc>
          <w:tcPr>
            <w:tcW w:w="2943" w:type="dxa"/>
            <w:vMerge w:val="restart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Наименование</w:t>
            </w:r>
          </w:p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показателя</w:t>
            </w:r>
          </w:p>
        </w:tc>
        <w:tc>
          <w:tcPr>
            <w:tcW w:w="7067" w:type="dxa"/>
            <w:gridSpan w:val="7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Номер образца</w:t>
            </w:r>
          </w:p>
        </w:tc>
      </w:tr>
      <w:tr w:rsidR="003E7E2E" w:rsidRPr="00B846FE" w:rsidTr="00983512">
        <w:trPr>
          <w:jc w:val="center"/>
        </w:trPr>
        <w:tc>
          <w:tcPr>
            <w:tcW w:w="2943" w:type="dxa"/>
            <w:vMerge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1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pStyle w:val="Style3"/>
              <w:widowControl/>
              <w:tabs>
                <w:tab w:val="left" w:pos="141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846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pStyle w:val="Style3"/>
              <w:widowControl/>
              <w:tabs>
                <w:tab w:val="left" w:pos="141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846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0" w:type="dxa"/>
            <w:vAlign w:val="center"/>
          </w:tcPr>
          <w:p w:rsidR="003E7E2E" w:rsidRPr="00B846FE" w:rsidRDefault="003E7E2E" w:rsidP="00983512">
            <w:pPr>
              <w:pStyle w:val="Style3"/>
              <w:widowControl/>
              <w:tabs>
                <w:tab w:val="left" w:pos="141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846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pStyle w:val="Style3"/>
              <w:widowControl/>
              <w:tabs>
                <w:tab w:val="left" w:pos="141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846F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pStyle w:val="Style3"/>
              <w:widowControl/>
              <w:tabs>
                <w:tab w:val="left" w:pos="141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846F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2" w:type="dxa"/>
            <w:vAlign w:val="center"/>
          </w:tcPr>
          <w:p w:rsidR="003E7E2E" w:rsidRPr="00B846FE" w:rsidRDefault="003E7E2E" w:rsidP="00983512">
            <w:pPr>
              <w:pStyle w:val="Style3"/>
              <w:widowControl/>
              <w:tabs>
                <w:tab w:val="left" w:pos="1418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846FE">
              <w:rPr>
                <w:rFonts w:ascii="Times New Roman" w:hAnsi="Times New Roman" w:cs="Times New Roman"/>
              </w:rPr>
              <w:t>7</w:t>
            </w:r>
          </w:p>
        </w:tc>
      </w:tr>
      <w:tr w:rsidR="003E7E2E" w:rsidRPr="00B846FE" w:rsidTr="00983512">
        <w:trPr>
          <w:jc w:val="center"/>
        </w:trPr>
        <w:tc>
          <w:tcPr>
            <w:tcW w:w="2943" w:type="dxa"/>
            <w:vAlign w:val="center"/>
          </w:tcPr>
          <w:p w:rsidR="003E7E2E" w:rsidRPr="00B846FE" w:rsidRDefault="003E7E2E" w:rsidP="00983512">
            <w:pPr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Массовая доля нерастворимых в воде веществ, %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36,68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82,03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4,86</w:t>
            </w:r>
          </w:p>
        </w:tc>
        <w:tc>
          <w:tcPr>
            <w:tcW w:w="940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9,89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82,32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80,69</w:t>
            </w:r>
          </w:p>
        </w:tc>
        <w:tc>
          <w:tcPr>
            <w:tcW w:w="1022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20,64</w:t>
            </w:r>
          </w:p>
        </w:tc>
      </w:tr>
      <w:tr w:rsidR="003E7E2E" w:rsidRPr="00B846FE" w:rsidTr="00983512">
        <w:trPr>
          <w:jc w:val="center"/>
        </w:trPr>
        <w:tc>
          <w:tcPr>
            <w:tcW w:w="2943" w:type="dxa"/>
            <w:vAlign w:val="center"/>
          </w:tcPr>
          <w:p w:rsidR="003E7E2E" w:rsidRPr="00B846FE" w:rsidRDefault="003E7E2E" w:rsidP="00983512">
            <w:pPr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Массовая доля сульфата железа (</w:t>
            </w:r>
            <w:r w:rsidRPr="00B846FE">
              <w:rPr>
                <w:sz w:val="24"/>
                <w:szCs w:val="24"/>
                <w:lang w:val="en-US"/>
              </w:rPr>
              <w:t>II</w:t>
            </w:r>
            <w:r w:rsidRPr="00B846FE">
              <w:rPr>
                <w:sz w:val="24"/>
                <w:szCs w:val="24"/>
              </w:rPr>
              <w:t>) в растворе, %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0,44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1,22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43,45</w:t>
            </w:r>
          </w:p>
        </w:tc>
        <w:tc>
          <w:tcPr>
            <w:tcW w:w="940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1,07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0,69</w:t>
            </w:r>
          </w:p>
        </w:tc>
        <w:tc>
          <w:tcPr>
            <w:tcW w:w="1021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0,77</w:t>
            </w:r>
          </w:p>
        </w:tc>
        <w:tc>
          <w:tcPr>
            <w:tcW w:w="1022" w:type="dxa"/>
            <w:vAlign w:val="center"/>
          </w:tcPr>
          <w:p w:rsidR="003E7E2E" w:rsidRPr="00B846FE" w:rsidRDefault="003E7E2E" w:rsidP="00983512">
            <w:pPr>
              <w:jc w:val="center"/>
              <w:rPr>
                <w:sz w:val="24"/>
                <w:szCs w:val="24"/>
              </w:rPr>
            </w:pPr>
            <w:r w:rsidRPr="00B846FE">
              <w:rPr>
                <w:sz w:val="24"/>
                <w:szCs w:val="24"/>
              </w:rPr>
              <w:t>0,89</w:t>
            </w:r>
          </w:p>
        </w:tc>
      </w:tr>
    </w:tbl>
    <w:p w:rsidR="003E7E2E" w:rsidRDefault="003E7E2E" w:rsidP="003E7E2E">
      <w:pPr>
        <w:pStyle w:val="Style3"/>
        <w:widowControl/>
        <w:tabs>
          <w:tab w:val="left" w:pos="1418"/>
        </w:tabs>
        <w:spacing w:before="24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данным, приведённым в табл. 3, н</w:t>
      </w:r>
      <w:r w:rsidRPr="004979DD">
        <w:rPr>
          <w:rFonts w:ascii="Times New Roman" w:hAnsi="Times New Roman" w:cs="Times New Roman"/>
          <w:sz w:val="28"/>
          <w:szCs w:val="28"/>
        </w:rPr>
        <w:t xml:space="preserve">аибольшее содержание сульфата железа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F5B68">
        <w:rPr>
          <w:rFonts w:ascii="Times New Roman" w:hAnsi="Times New Roman" w:cs="Times New Roman"/>
          <w:sz w:val="28"/>
          <w:szCs w:val="28"/>
        </w:rPr>
        <w:t xml:space="preserve">) </w:t>
      </w:r>
      <w:r w:rsidRPr="004979DD">
        <w:rPr>
          <w:rFonts w:ascii="Times New Roman" w:hAnsi="Times New Roman" w:cs="Times New Roman"/>
          <w:sz w:val="28"/>
          <w:szCs w:val="28"/>
        </w:rPr>
        <w:t xml:space="preserve">составило 43,45% </w:t>
      </w:r>
      <w:r>
        <w:rPr>
          <w:rFonts w:ascii="Times New Roman" w:hAnsi="Times New Roman" w:cs="Times New Roman"/>
          <w:sz w:val="28"/>
          <w:szCs w:val="28"/>
        </w:rPr>
        <w:t>в образце-куске №</w:t>
      </w:r>
      <w:r w:rsidRPr="004979DD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Визуально </w:t>
      </w:r>
      <w:r w:rsidRPr="004979DD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 xml:space="preserve">представлял собой </w:t>
      </w:r>
      <w:r w:rsidRPr="004979DD">
        <w:rPr>
          <w:rFonts w:ascii="Times New Roman" w:hAnsi="Times New Roman" w:cs="Times New Roman"/>
          <w:sz w:val="28"/>
          <w:szCs w:val="28"/>
        </w:rPr>
        <w:t>голубова</w:t>
      </w:r>
      <w:r>
        <w:rPr>
          <w:rFonts w:ascii="Times New Roman" w:hAnsi="Times New Roman" w:cs="Times New Roman"/>
          <w:sz w:val="28"/>
          <w:szCs w:val="28"/>
        </w:rPr>
        <w:t xml:space="preserve">то-зеленоватые </w:t>
      </w:r>
      <w:r w:rsidRPr="004979DD">
        <w:rPr>
          <w:rFonts w:ascii="Times New Roman" w:hAnsi="Times New Roman" w:cs="Times New Roman"/>
          <w:sz w:val="28"/>
          <w:szCs w:val="28"/>
        </w:rPr>
        <w:t>кристалл</w:t>
      </w:r>
      <w:r>
        <w:rPr>
          <w:rFonts w:ascii="Times New Roman" w:hAnsi="Times New Roman" w:cs="Times New Roman"/>
          <w:sz w:val="28"/>
          <w:szCs w:val="28"/>
        </w:rPr>
        <w:t>ы (рис.</w:t>
      </w:r>
      <w:proofErr w:type="gramStart"/>
      <w:r>
        <w:rPr>
          <w:rFonts w:ascii="Times New Roman" w:hAnsi="Times New Roman" w:cs="Times New Roman"/>
          <w:sz w:val="28"/>
          <w:szCs w:val="28"/>
        </w:rPr>
        <w:t>1,в</w:t>
      </w:r>
      <w:proofErr w:type="gramEnd"/>
      <w:r>
        <w:rPr>
          <w:rFonts w:ascii="Times New Roman" w:hAnsi="Times New Roman" w:cs="Times New Roman"/>
          <w:sz w:val="28"/>
          <w:szCs w:val="28"/>
        </w:rPr>
        <w:t>). С</w:t>
      </w:r>
      <w:r w:rsidRPr="00FC0EC8">
        <w:rPr>
          <w:rFonts w:ascii="Times New Roman" w:hAnsi="Times New Roman" w:cs="Times New Roman"/>
          <w:sz w:val="28"/>
          <w:szCs w:val="28"/>
        </w:rPr>
        <w:t xml:space="preserve">одержание нерастворимых в воде примесей </w:t>
      </w:r>
      <w:r>
        <w:rPr>
          <w:rFonts w:ascii="Times New Roman" w:hAnsi="Times New Roman" w:cs="Times New Roman"/>
          <w:sz w:val="28"/>
          <w:szCs w:val="28"/>
        </w:rPr>
        <w:t>в образце-куске №</w:t>
      </w:r>
      <w:r w:rsidRPr="00FC0EC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составило 4,86%. В остальных пробах количество нерастворенного в воде остатка находится в пределах ~10÷80 %.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E2E" w:rsidRDefault="003E7E2E" w:rsidP="003E7E2E">
      <w:pPr>
        <w:pStyle w:val="Style3"/>
        <w:widowControl/>
        <w:tabs>
          <w:tab w:val="left" w:pos="1418"/>
        </w:tabs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1.5 Содержание сульфата железа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53D5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в общей гомогенизированной пробе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F6E43">
        <w:rPr>
          <w:rFonts w:ascii="Times New Roman" w:hAnsi="Times New Roman" w:cs="Times New Roman"/>
          <w:sz w:val="28"/>
          <w:szCs w:val="28"/>
        </w:rPr>
        <w:t xml:space="preserve">оказатели </w:t>
      </w:r>
      <w:r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Pr="00FF6E43">
        <w:rPr>
          <w:rFonts w:ascii="Times New Roman" w:hAnsi="Times New Roman" w:cs="Times New Roman"/>
          <w:sz w:val="28"/>
          <w:szCs w:val="28"/>
        </w:rPr>
        <w:t>общей гомогенизированной пробы приведены в табл.</w:t>
      </w:r>
      <w:r>
        <w:rPr>
          <w:rFonts w:ascii="Times New Roman" w:hAnsi="Times New Roman" w:cs="Times New Roman"/>
          <w:sz w:val="28"/>
          <w:szCs w:val="28"/>
        </w:rPr>
        <w:t>4 и Приложении 2</w:t>
      </w:r>
      <w:r w:rsidRPr="00FF6E4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 результатам анализа, содержание основного вещества в общей гомогенизированной пробе в среднем составило 32,79%. </w:t>
      </w:r>
    </w:p>
    <w:p w:rsidR="003E7E2E" w:rsidRPr="00FF6E43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 – Качественный состав некондиционного сульфата железа</w:t>
      </w:r>
    </w:p>
    <w:tbl>
      <w:tblPr>
        <w:tblW w:w="51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8"/>
        <w:gridCol w:w="1419"/>
        <w:gridCol w:w="1779"/>
        <w:gridCol w:w="3563"/>
      </w:tblGrid>
      <w:tr w:rsidR="003E7E2E" w:rsidRPr="00B846FE" w:rsidTr="00983512">
        <w:trPr>
          <w:trHeight w:val="247"/>
          <w:jc w:val="center"/>
        </w:trPr>
        <w:tc>
          <w:tcPr>
            <w:tcW w:w="18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E2E" w:rsidRPr="00B846FE" w:rsidRDefault="003E7E2E" w:rsidP="00983512">
            <w:pPr>
              <w:tabs>
                <w:tab w:val="left" w:pos="505"/>
              </w:tabs>
              <w:contextualSpacing/>
              <w:jc w:val="center"/>
            </w:pPr>
            <w:r w:rsidRPr="00B846FE">
              <w:t>Наименование показателя</w:t>
            </w:r>
          </w:p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E2E" w:rsidRPr="00B846FE" w:rsidRDefault="003E7E2E" w:rsidP="00983512">
            <w:pPr>
              <w:contextualSpacing/>
              <w:jc w:val="center"/>
            </w:pPr>
            <w:r w:rsidRPr="00B846FE">
              <w:t>Норма по ГОСТ 6981-94</w:t>
            </w:r>
          </w:p>
        </w:tc>
        <w:tc>
          <w:tcPr>
            <w:tcW w:w="16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7E2E" w:rsidRPr="00B846FE" w:rsidRDefault="003E7E2E" w:rsidP="00983512">
            <w:pPr>
              <w:contextualSpacing/>
              <w:jc w:val="center"/>
            </w:pPr>
            <w:r w:rsidRPr="00B846FE">
              <w:t>Результат</w:t>
            </w:r>
          </w:p>
          <w:p w:rsidR="003E7E2E" w:rsidRPr="00B846FE" w:rsidRDefault="003E7E2E" w:rsidP="00983512">
            <w:pPr>
              <w:contextualSpacing/>
              <w:jc w:val="center"/>
            </w:pPr>
            <w:r w:rsidRPr="00B846FE">
              <w:t>анализа</w:t>
            </w:r>
          </w:p>
        </w:tc>
      </w:tr>
      <w:tr w:rsidR="003E7E2E" w:rsidRPr="00B846FE" w:rsidTr="00983512">
        <w:trPr>
          <w:trHeight w:val="195"/>
          <w:jc w:val="center"/>
        </w:trPr>
        <w:tc>
          <w:tcPr>
            <w:tcW w:w="18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contextualSpacing/>
              <w:jc w:val="center"/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spacing w:after="200"/>
              <w:contextualSpacing/>
              <w:jc w:val="center"/>
            </w:pPr>
            <w:r w:rsidRPr="00B846FE">
              <w:t>1-й сорт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spacing w:after="200"/>
              <w:contextualSpacing/>
              <w:jc w:val="center"/>
            </w:pPr>
            <w:r w:rsidRPr="00B846FE">
              <w:t>2-й сорт</w:t>
            </w:r>
          </w:p>
        </w:tc>
        <w:tc>
          <w:tcPr>
            <w:tcW w:w="16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E2E" w:rsidRPr="00B846FE" w:rsidRDefault="003E7E2E" w:rsidP="00983512">
            <w:pPr>
              <w:spacing w:after="200"/>
              <w:contextualSpacing/>
              <w:jc w:val="center"/>
            </w:pPr>
          </w:p>
        </w:tc>
      </w:tr>
      <w:tr w:rsidR="003E7E2E" w:rsidRPr="00B846FE" w:rsidTr="00983512">
        <w:trPr>
          <w:trHeight w:val="430"/>
          <w:jc w:val="center"/>
        </w:trPr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contextualSpacing/>
            </w:pPr>
            <w:r w:rsidRPr="00B846FE">
              <w:t>Внешний вид</w:t>
            </w:r>
          </w:p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contextualSpacing/>
              <w:jc w:val="center"/>
            </w:pPr>
            <w:r w:rsidRPr="00B846FE">
              <w:t>Кристаллы,</w:t>
            </w:r>
          </w:p>
          <w:p w:rsidR="003E7E2E" w:rsidRPr="00B846FE" w:rsidRDefault="003E7E2E" w:rsidP="00983512">
            <w:pPr>
              <w:contextualSpacing/>
              <w:jc w:val="center"/>
            </w:pPr>
            <w:r w:rsidRPr="00B846FE">
              <w:t>зеленовато-голубые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E2E" w:rsidRPr="00B846FE" w:rsidRDefault="003E7E2E" w:rsidP="00983512">
            <w:pPr>
              <w:contextualSpacing/>
              <w:jc w:val="center"/>
            </w:pPr>
            <w:r w:rsidRPr="00B846FE">
              <w:t>Неоднородный продукт светло-желтого цвета с коричневыми и голубоватыми вкраплениями и комками</w:t>
            </w:r>
          </w:p>
        </w:tc>
      </w:tr>
      <w:tr w:rsidR="003E7E2E" w:rsidRPr="00B846FE" w:rsidTr="00983512">
        <w:trPr>
          <w:trHeight w:val="477"/>
          <w:jc w:val="center"/>
        </w:trPr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rPr>
                <w:lang w:eastAsia="en-US"/>
              </w:rPr>
            </w:pPr>
            <w:r w:rsidRPr="00B846FE">
              <w:t>Массовая доля сульфата железа (</w:t>
            </w:r>
            <w:r w:rsidRPr="00B846FE">
              <w:rPr>
                <w:lang w:val="en-US"/>
              </w:rPr>
              <w:t>II</w:t>
            </w:r>
            <w:r w:rsidRPr="00B846FE">
              <w:t xml:space="preserve">), </w:t>
            </w:r>
            <w:proofErr w:type="gramStart"/>
            <w:r w:rsidRPr="00B846FE">
              <w:t>% ,</w:t>
            </w:r>
            <w:proofErr w:type="gramEnd"/>
            <w:r w:rsidRPr="00B846FE">
              <w:t xml:space="preserve"> не менее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jc w:val="center"/>
              <w:rPr>
                <w:lang w:eastAsia="en-US"/>
              </w:rPr>
            </w:pPr>
            <w:r w:rsidRPr="00B846FE">
              <w:t>53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jc w:val="center"/>
              <w:rPr>
                <w:lang w:eastAsia="en-US"/>
              </w:rPr>
            </w:pPr>
            <w:r w:rsidRPr="00B846FE">
              <w:t>47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E2E" w:rsidRPr="00B846FE" w:rsidRDefault="003E7E2E" w:rsidP="00983512">
            <w:pPr>
              <w:pStyle w:val="ac"/>
              <w:contextualSpacing/>
              <w:jc w:val="center"/>
            </w:pPr>
            <w:r w:rsidRPr="00B846FE">
              <w:t>32,79</w:t>
            </w:r>
          </w:p>
        </w:tc>
      </w:tr>
      <w:tr w:rsidR="003E7E2E" w:rsidRPr="00B846FE" w:rsidTr="00983512">
        <w:trPr>
          <w:trHeight w:val="412"/>
          <w:jc w:val="center"/>
        </w:trPr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rPr>
                <w:lang w:eastAsia="en-US"/>
              </w:rPr>
            </w:pPr>
            <w:r w:rsidRPr="00B846FE">
              <w:t xml:space="preserve">Массовая доля свободной серной кислоты, %, не более  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jc w:val="center"/>
              <w:rPr>
                <w:lang w:eastAsia="en-US"/>
              </w:rPr>
            </w:pPr>
            <w:r w:rsidRPr="00B846FE">
              <w:t>0,3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jc w:val="center"/>
              <w:rPr>
                <w:lang w:eastAsia="en-US"/>
              </w:rPr>
            </w:pPr>
            <w:r w:rsidRPr="00B846FE">
              <w:t>1,0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E2E" w:rsidRPr="00B846FE" w:rsidRDefault="003E7E2E" w:rsidP="00983512">
            <w:pPr>
              <w:pStyle w:val="ac"/>
              <w:contextualSpacing/>
              <w:jc w:val="center"/>
            </w:pPr>
            <w:proofErr w:type="spellStart"/>
            <w:r w:rsidRPr="00B846FE">
              <w:t>отс</w:t>
            </w:r>
            <w:proofErr w:type="spellEnd"/>
            <w:r w:rsidRPr="00B846FE">
              <w:t>.</w:t>
            </w:r>
          </w:p>
        </w:tc>
      </w:tr>
      <w:tr w:rsidR="003E7E2E" w:rsidRPr="00B846FE" w:rsidTr="00983512">
        <w:trPr>
          <w:trHeight w:val="417"/>
          <w:jc w:val="center"/>
        </w:trPr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rPr>
                <w:lang w:eastAsia="en-US"/>
              </w:rPr>
            </w:pPr>
            <w:r w:rsidRPr="00B846FE">
              <w:t>Массовая доля нерастворимых в воде веществ, %, не более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jc w:val="center"/>
              <w:rPr>
                <w:lang w:eastAsia="en-US"/>
              </w:rPr>
            </w:pPr>
            <w:r w:rsidRPr="00B846FE">
              <w:t>0,2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jc w:val="center"/>
              <w:rPr>
                <w:lang w:eastAsia="en-US"/>
              </w:rPr>
            </w:pPr>
            <w:r w:rsidRPr="00B846FE">
              <w:t>1,0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E2E" w:rsidRPr="00B846FE" w:rsidRDefault="003E7E2E" w:rsidP="00983512">
            <w:pPr>
              <w:pStyle w:val="ac"/>
              <w:contextualSpacing/>
              <w:jc w:val="center"/>
            </w:pPr>
            <w:r w:rsidRPr="00B846FE">
              <w:t>24,0</w:t>
            </w:r>
          </w:p>
        </w:tc>
      </w:tr>
      <w:tr w:rsidR="003E7E2E" w:rsidRPr="00B846FE" w:rsidTr="00983512">
        <w:trPr>
          <w:trHeight w:val="407"/>
          <w:jc w:val="center"/>
        </w:trPr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rPr>
                <w:lang w:eastAsia="en-US"/>
              </w:rPr>
            </w:pPr>
            <w:r w:rsidRPr="00B846FE">
              <w:t xml:space="preserve">Массовая доля нерастворимых в соляной кислоте веществ %, </w:t>
            </w:r>
          </w:p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jc w:val="center"/>
              <w:rPr>
                <w:lang w:eastAsia="en-US"/>
              </w:rPr>
            </w:pPr>
            <w:r w:rsidRPr="00B846FE">
              <w:t>не нормируется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E2E" w:rsidRPr="00B846FE" w:rsidRDefault="003E7E2E" w:rsidP="00983512">
            <w:pPr>
              <w:pStyle w:val="ac"/>
              <w:contextualSpacing/>
              <w:jc w:val="center"/>
            </w:pPr>
            <w:r w:rsidRPr="00B846FE">
              <w:t>21,45</w:t>
            </w:r>
          </w:p>
        </w:tc>
      </w:tr>
      <w:tr w:rsidR="003E7E2E" w:rsidRPr="00B846FE" w:rsidTr="00983512">
        <w:trPr>
          <w:trHeight w:val="395"/>
          <w:jc w:val="center"/>
        </w:trPr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rPr>
                <w:lang w:eastAsia="en-US"/>
              </w:rPr>
            </w:pPr>
            <w:r w:rsidRPr="00B846FE">
              <w:t>Массовая доля сульфата железа (</w:t>
            </w:r>
            <w:r w:rsidRPr="00B846FE">
              <w:rPr>
                <w:lang w:val="en-US"/>
              </w:rPr>
              <w:t>III</w:t>
            </w:r>
            <w:r w:rsidRPr="00B846FE">
              <w:t xml:space="preserve">), </w:t>
            </w:r>
            <w:proofErr w:type="gramStart"/>
            <w:r w:rsidRPr="00B846FE">
              <w:t>% ,</w:t>
            </w:r>
            <w:proofErr w:type="gramEnd"/>
            <w:r w:rsidRPr="00B846FE">
              <w:t xml:space="preserve"> не менее</w:t>
            </w:r>
          </w:p>
        </w:tc>
        <w:tc>
          <w:tcPr>
            <w:tcW w:w="1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E2E" w:rsidRPr="00B846FE" w:rsidRDefault="003E7E2E" w:rsidP="00983512">
            <w:pPr>
              <w:pStyle w:val="ac"/>
              <w:contextualSpacing/>
              <w:jc w:val="center"/>
              <w:rPr>
                <w:lang w:eastAsia="en-US"/>
              </w:rPr>
            </w:pPr>
            <w:r w:rsidRPr="00B846FE">
              <w:t>не нормируется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E2E" w:rsidRPr="00B846FE" w:rsidRDefault="003E7E2E" w:rsidP="00983512">
            <w:pPr>
              <w:pStyle w:val="ac"/>
              <w:contextualSpacing/>
              <w:jc w:val="center"/>
            </w:pPr>
            <w:r w:rsidRPr="00B846FE">
              <w:t>12,93</w:t>
            </w:r>
          </w:p>
        </w:tc>
      </w:tr>
    </w:tbl>
    <w:p w:rsidR="003E7E2E" w:rsidRDefault="003E7E2E" w:rsidP="003E7E2E">
      <w:pPr>
        <w:pStyle w:val="Style3"/>
        <w:widowControl/>
        <w:tabs>
          <w:tab w:val="left" w:pos="1418"/>
        </w:tabs>
        <w:spacing w:before="24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гомогенизированной пробы также отобрали 7 проб, в которых определили содержание сульфата железа </w:t>
      </w:r>
      <w:r w:rsidRPr="008D33B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), а также все приведённые в табл. 4, показатели. Расхождение между результатами анализа составило в пределах ~ 1÷3%, что свидетельствует о достаточной однородности подготовленной пробы.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 растворения общей пробы составил в среднем ~ 30÷45 минут. </w:t>
      </w:r>
    </w:p>
    <w:p w:rsidR="003E7E2E" w:rsidRDefault="003E7E2E" w:rsidP="003E7E2E">
      <w:pPr>
        <w:pStyle w:val="Style3"/>
        <w:widowControl/>
        <w:tabs>
          <w:tab w:val="left" w:pos="1418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взвешенных веществ (в среднем):</w:t>
      </w:r>
    </w:p>
    <w:p w:rsidR="003E7E2E" w:rsidRDefault="003E7E2E" w:rsidP="003E7E2E">
      <w:pPr>
        <w:pStyle w:val="Style3"/>
        <w:widowControl/>
        <w:tabs>
          <w:tab w:val="left" w:pos="0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после растворения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- &gt;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500 мг/дм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E7E2E" w:rsidRDefault="003E7E2E" w:rsidP="003E7E2E">
      <w:pPr>
        <w:pStyle w:val="Style3"/>
        <w:widowControl/>
        <w:tabs>
          <w:tab w:val="left" w:pos="0"/>
        </w:tabs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12 часов отстаивания – 58 мг/дм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E7E2E" w:rsidRPr="00A20012" w:rsidRDefault="003E7E2E" w:rsidP="003E7E2E">
      <w:pPr>
        <w:pStyle w:val="Style3"/>
        <w:widowControl/>
        <w:tabs>
          <w:tab w:val="left" w:pos="142"/>
          <w:tab w:val="left" w:pos="851"/>
        </w:tabs>
        <w:spacing w:after="240" w:line="276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добавления 2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0,1%-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раствора ВПК-402 на 250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раствора и 12 часового отстаивания - 10÷20 мг/</w:t>
      </w:r>
      <w:r w:rsidRPr="008D33B9">
        <w:rPr>
          <w:rFonts w:ascii="Times New Roman" w:hAnsi="Times New Roman" w:cs="Times New Roman"/>
          <w:sz w:val="28"/>
          <w:szCs w:val="28"/>
        </w:rPr>
        <w:t>дм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3.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12AA1" w:rsidRPr="00F12AA1" w:rsidRDefault="00F12AA1" w:rsidP="00F12AA1">
      <w:pPr>
        <w:rPr>
          <w:rFonts w:eastAsia="Times New Roman"/>
          <w:sz w:val="24"/>
          <w:szCs w:val="24"/>
          <w:lang w:eastAsia="ru-RU"/>
        </w:rPr>
      </w:pPr>
    </w:p>
    <w:p w:rsidR="00F12AA1" w:rsidRPr="00F12AA1" w:rsidRDefault="00F12AA1" w:rsidP="00F12AA1">
      <w:pPr>
        <w:rPr>
          <w:rFonts w:eastAsia="Times New Roman"/>
          <w:sz w:val="24"/>
          <w:szCs w:val="24"/>
          <w:lang w:eastAsia="ru-RU"/>
        </w:rPr>
      </w:pPr>
    </w:p>
    <w:p w:rsidR="00F12AA1" w:rsidRDefault="00F12AA1" w:rsidP="00F12AA1">
      <w:pPr>
        <w:rPr>
          <w:rFonts w:eastAsia="Times New Roman"/>
          <w:sz w:val="24"/>
          <w:szCs w:val="24"/>
          <w:lang w:eastAsia="ru-RU"/>
        </w:rPr>
      </w:pPr>
    </w:p>
    <w:p w:rsidR="00F12AA1" w:rsidRDefault="00F12AA1" w:rsidP="00F12AA1">
      <w:pPr>
        <w:rPr>
          <w:rFonts w:eastAsia="Times New Roman"/>
          <w:sz w:val="24"/>
          <w:szCs w:val="24"/>
          <w:lang w:eastAsia="ru-RU"/>
        </w:rPr>
      </w:pPr>
    </w:p>
    <w:sectPr w:rsidR="00F12AA1" w:rsidSect="00E81CC3">
      <w:pgSz w:w="11906" w:h="16838"/>
      <w:pgMar w:top="1134" w:right="426" w:bottom="1134" w:left="85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0ED" w:rsidRDefault="001970ED" w:rsidP="003E7E2E">
      <w:r>
        <w:separator/>
      </w:r>
    </w:p>
  </w:endnote>
  <w:endnote w:type="continuationSeparator" w:id="0">
    <w:p w:rsidR="001970ED" w:rsidRDefault="001970ED" w:rsidP="003E7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0ED" w:rsidRDefault="001970ED" w:rsidP="003E7E2E">
      <w:r>
        <w:separator/>
      </w:r>
    </w:p>
  </w:footnote>
  <w:footnote w:type="continuationSeparator" w:id="0">
    <w:p w:rsidR="001970ED" w:rsidRDefault="001970ED" w:rsidP="003E7E2E">
      <w:r>
        <w:continuationSeparator/>
      </w:r>
    </w:p>
  </w:footnote>
  <w:footnote w:id="1">
    <w:p w:rsidR="003E7E2E" w:rsidRDefault="003E7E2E" w:rsidP="003E7E2E">
      <w:pPr>
        <w:pStyle w:val="ad"/>
      </w:pPr>
      <w:r>
        <w:rPr>
          <w:rStyle w:val="af"/>
        </w:rPr>
        <w:footnoteRef/>
      </w:r>
      <w:r>
        <w:t xml:space="preserve"> Выше чувствительности прибора – анализатор взвешенных веществ ФАВ-1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10079"/>
    <w:multiLevelType w:val="hybridMultilevel"/>
    <w:tmpl w:val="67D0EC8E"/>
    <w:lvl w:ilvl="0" w:tplc="6508482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10F0110"/>
    <w:multiLevelType w:val="hybridMultilevel"/>
    <w:tmpl w:val="DE38BDE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5D5"/>
    <w:rsid w:val="00025936"/>
    <w:rsid w:val="000306B0"/>
    <w:rsid w:val="00052C93"/>
    <w:rsid w:val="00056849"/>
    <w:rsid w:val="00072CD7"/>
    <w:rsid w:val="000A077E"/>
    <w:rsid w:val="000A3D6B"/>
    <w:rsid w:val="000A5EB9"/>
    <w:rsid w:val="000A7730"/>
    <w:rsid w:val="000B0B1E"/>
    <w:rsid w:val="000B6C21"/>
    <w:rsid w:val="000C1837"/>
    <w:rsid w:val="000C1C50"/>
    <w:rsid w:val="000D0EE1"/>
    <w:rsid w:val="000D64E9"/>
    <w:rsid w:val="000F7FF8"/>
    <w:rsid w:val="00111D9C"/>
    <w:rsid w:val="00113DC5"/>
    <w:rsid w:val="00121540"/>
    <w:rsid w:val="00123566"/>
    <w:rsid w:val="00127D79"/>
    <w:rsid w:val="0013255E"/>
    <w:rsid w:val="00140D9D"/>
    <w:rsid w:val="00140F82"/>
    <w:rsid w:val="00142E72"/>
    <w:rsid w:val="00191B5C"/>
    <w:rsid w:val="001970ED"/>
    <w:rsid w:val="00197FEE"/>
    <w:rsid w:val="001A0775"/>
    <w:rsid w:val="001A1A8D"/>
    <w:rsid w:val="001A52D3"/>
    <w:rsid w:val="001C0847"/>
    <w:rsid w:val="001C2086"/>
    <w:rsid w:val="001D310A"/>
    <w:rsid w:val="001D5B0F"/>
    <w:rsid w:val="001D6E2D"/>
    <w:rsid w:val="001E6DE7"/>
    <w:rsid w:val="001F3B69"/>
    <w:rsid w:val="00203CFF"/>
    <w:rsid w:val="00213326"/>
    <w:rsid w:val="0021338D"/>
    <w:rsid w:val="002201A5"/>
    <w:rsid w:val="00222A7B"/>
    <w:rsid w:val="002254CD"/>
    <w:rsid w:val="00226CFA"/>
    <w:rsid w:val="00227BA5"/>
    <w:rsid w:val="00240E33"/>
    <w:rsid w:val="00252178"/>
    <w:rsid w:val="002527BC"/>
    <w:rsid w:val="002576C4"/>
    <w:rsid w:val="00263BF8"/>
    <w:rsid w:val="00266942"/>
    <w:rsid w:val="00281154"/>
    <w:rsid w:val="00281C7D"/>
    <w:rsid w:val="002939D8"/>
    <w:rsid w:val="002A2D42"/>
    <w:rsid w:val="002C2234"/>
    <w:rsid w:val="002D71F8"/>
    <w:rsid w:val="002E5D45"/>
    <w:rsid w:val="00315C01"/>
    <w:rsid w:val="00322E7A"/>
    <w:rsid w:val="00326F42"/>
    <w:rsid w:val="00341391"/>
    <w:rsid w:val="003756C6"/>
    <w:rsid w:val="00381864"/>
    <w:rsid w:val="00383B82"/>
    <w:rsid w:val="003912D4"/>
    <w:rsid w:val="003A4B4B"/>
    <w:rsid w:val="003B2F92"/>
    <w:rsid w:val="003C7BD7"/>
    <w:rsid w:val="003E354B"/>
    <w:rsid w:val="003E5262"/>
    <w:rsid w:val="003E7E2E"/>
    <w:rsid w:val="0041501F"/>
    <w:rsid w:val="00432D04"/>
    <w:rsid w:val="00447258"/>
    <w:rsid w:val="0044757A"/>
    <w:rsid w:val="0045064C"/>
    <w:rsid w:val="00467F26"/>
    <w:rsid w:val="00473A70"/>
    <w:rsid w:val="00485265"/>
    <w:rsid w:val="00485B41"/>
    <w:rsid w:val="00496877"/>
    <w:rsid w:val="00496AAD"/>
    <w:rsid w:val="004A0133"/>
    <w:rsid w:val="004A2F9E"/>
    <w:rsid w:val="004A779E"/>
    <w:rsid w:val="004A7B63"/>
    <w:rsid w:val="004B60A9"/>
    <w:rsid w:val="004B6DD6"/>
    <w:rsid w:val="004C049F"/>
    <w:rsid w:val="004D0CB8"/>
    <w:rsid w:val="004D2F5D"/>
    <w:rsid w:val="004D348A"/>
    <w:rsid w:val="004E1F9B"/>
    <w:rsid w:val="004F01A8"/>
    <w:rsid w:val="00517A5C"/>
    <w:rsid w:val="005368F8"/>
    <w:rsid w:val="00536BBD"/>
    <w:rsid w:val="0053766E"/>
    <w:rsid w:val="00537888"/>
    <w:rsid w:val="00564899"/>
    <w:rsid w:val="00572249"/>
    <w:rsid w:val="00586D44"/>
    <w:rsid w:val="0058791B"/>
    <w:rsid w:val="00591D4E"/>
    <w:rsid w:val="005A34D6"/>
    <w:rsid w:val="005A439D"/>
    <w:rsid w:val="005A5D66"/>
    <w:rsid w:val="005B7337"/>
    <w:rsid w:val="005C3F0D"/>
    <w:rsid w:val="005E6602"/>
    <w:rsid w:val="005F5980"/>
    <w:rsid w:val="00613B5F"/>
    <w:rsid w:val="00616828"/>
    <w:rsid w:val="006241EF"/>
    <w:rsid w:val="006243CB"/>
    <w:rsid w:val="00642F08"/>
    <w:rsid w:val="00646C93"/>
    <w:rsid w:val="00652BB2"/>
    <w:rsid w:val="006678E2"/>
    <w:rsid w:val="006A14A2"/>
    <w:rsid w:val="006A7454"/>
    <w:rsid w:val="006C33AD"/>
    <w:rsid w:val="006C5157"/>
    <w:rsid w:val="006D546B"/>
    <w:rsid w:val="006E30D3"/>
    <w:rsid w:val="006E637E"/>
    <w:rsid w:val="006F3350"/>
    <w:rsid w:val="006F45CC"/>
    <w:rsid w:val="00707EF6"/>
    <w:rsid w:val="0071679B"/>
    <w:rsid w:val="0073027A"/>
    <w:rsid w:val="00734516"/>
    <w:rsid w:val="0073497A"/>
    <w:rsid w:val="00740C6B"/>
    <w:rsid w:val="00747CA2"/>
    <w:rsid w:val="00765CD2"/>
    <w:rsid w:val="00794ADF"/>
    <w:rsid w:val="007A1369"/>
    <w:rsid w:val="007B10D5"/>
    <w:rsid w:val="007B3786"/>
    <w:rsid w:val="007B5F37"/>
    <w:rsid w:val="007B7D66"/>
    <w:rsid w:val="007C19B5"/>
    <w:rsid w:val="007C2B50"/>
    <w:rsid w:val="007D0E59"/>
    <w:rsid w:val="007D5369"/>
    <w:rsid w:val="007D7862"/>
    <w:rsid w:val="007F3168"/>
    <w:rsid w:val="00800079"/>
    <w:rsid w:val="00814EB8"/>
    <w:rsid w:val="008258CE"/>
    <w:rsid w:val="008301D6"/>
    <w:rsid w:val="00841112"/>
    <w:rsid w:val="00842DAB"/>
    <w:rsid w:val="0085365C"/>
    <w:rsid w:val="00853DFD"/>
    <w:rsid w:val="00872C2A"/>
    <w:rsid w:val="008A190A"/>
    <w:rsid w:val="008A6779"/>
    <w:rsid w:val="008B6808"/>
    <w:rsid w:val="008D3D80"/>
    <w:rsid w:val="008E1ABE"/>
    <w:rsid w:val="008E69AA"/>
    <w:rsid w:val="008F182C"/>
    <w:rsid w:val="00901253"/>
    <w:rsid w:val="009068AD"/>
    <w:rsid w:val="0091195C"/>
    <w:rsid w:val="00920EB9"/>
    <w:rsid w:val="00932B21"/>
    <w:rsid w:val="0093772F"/>
    <w:rsid w:val="00960AE5"/>
    <w:rsid w:val="00962018"/>
    <w:rsid w:val="00963BCF"/>
    <w:rsid w:val="00974D79"/>
    <w:rsid w:val="0098761A"/>
    <w:rsid w:val="009917AA"/>
    <w:rsid w:val="00993ACE"/>
    <w:rsid w:val="009A0BA9"/>
    <w:rsid w:val="009A7271"/>
    <w:rsid w:val="009B4481"/>
    <w:rsid w:val="009B5E31"/>
    <w:rsid w:val="009C6F4B"/>
    <w:rsid w:val="009D1A82"/>
    <w:rsid w:val="009D2145"/>
    <w:rsid w:val="009E6BB9"/>
    <w:rsid w:val="009E6D02"/>
    <w:rsid w:val="009F2315"/>
    <w:rsid w:val="009F47CE"/>
    <w:rsid w:val="00A04755"/>
    <w:rsid w:val="00A10E3D"/>
    <w:rsid w:val="00A22D47"/>
    <w:rsid w:val="00A31CB8"/>
    <w:rsid w:val="00A41AED"/>
    <w:rsid w:val="00A45BC1"/>
    <w:rsid w:val="00A57292"/>
    <w:rsid w:val="00A64845"/>
    <w:rsid w:val="00A77C7E"/>
    <w:rsid w:val="00A828E5"/>
    <w:rsid w:val="00A837E7"/>
    <w:rsid w:val="00A8472A"/>
    <w:rsid w:val="00AA5400"/>
    <w:rsid w:val="00AB2D38"/>
    <w:rsid w:val="00AB4085"/>
    <w:rsid w:val="00AB5F48"/>
    <w:rsid w:val="00AD1886"/>
    <w:rsid w:val="00AD1D0F"/>
    <w:rsid w:val="00AD2E7A"/>
    <w:rsid w:val="00AE4778"/>
    <w:rsid w:val="00AF1A78"/>
    <w:rsid w:val="00AF6953"/>
    <w:rsid w:val="00B05735"/>
    <w:rsid w:val="00B15704"/>
    <w:rsid w:val="00B22DA2"/>
    <w:rsid w:val="00B32709"/>
    <w:rsid w:val="00B3664D"/>
    <w:rsid w:val="00B67E99"/>
    <w:rsid w:val="00B81F46"/>
    <w:rsid w:val="00B85FE4"/>
    <w:rsid w:val="00BB3819"/>
    <w:rsid w:val="00BB5E2F"/>
    <w:rsid w:val="00BD2FA6"/>
    <w:rsid w:val="00BE0E4F"/>
    <w:rsid w:val="00BF3284"/>
    <w:rsid w:val="00C0585E"/>
    <w:rsid w:val="00C105D5"/>
    <w:rsid w:val="00C10A23"/>
    <w:rsid w:val="00C2633B"/>
    <w:rsid w:val="00C30A14"/>
    <w:rsid w:val="00C62837"/>
    <w:rsid w:val="00C676B1"/>
    <w:rsid w:val="00C7634B"/>
    <w:rsid w:val="00C8743C"/>
    <w:rsid w:val="00C92512"/>
    <w:rsid w:val="00CA2FA2"/>
    <w:rsid w:val="00CA591E"/>
    <w:rsid w:val="00CA6181"/>
    <w:rsid w:val="00CB1FC4"/>
    <w:rsid w:val="00CB5AE0"/>
    <w:rsid w:val="00CB6CB0"/>
    <w:rsid w:val="00CC221D"/>
    <w:rsid w:val="00CC35B1"/>
    <w:rsid w:val="00CD26B5"/>
    <w:rsid w:val="00CD2FC7"/>
    <w:rsid w:val="00CD42F4"/>
    <w:rsid w:val="00CD61BC"/>
    <w:rsid w:val="00CE00E6"/>
    <w:rsid w:val="00CE2488"/>
    <w:rsid w:val="00CF39E6"/>
    <w:rsid w:val="00CF6B23"/>
    <w:rsid w:val="00D1242B"/>
    <w:rsid w:val="00D15829"/>
    <w:rsid w:val="00D2418B"/>
    <w:rsid w:val="00D3348D"/>
    <w:rsid w:val="00D34638"/>
    <w:rsid w:val="00D42778"/>
    <w:rsid w:val="00D70941"/>
    <w:rsid w:val="00D76227"/>
    <w:rsid w:val="00D8042E"/>
    <w:rsid w:val="00D82F1D"/>
    <w:rsid w:val="00D972DC"/>
    <w:rsid w:val="00DB396D"/>
    <w:rsid w:val="00DC070E"/>
    <w:rsid w:val="00DE18FA"/>
    <w:rsid w:val="00DE7827"/>
    <w:rsid w:val="00E06F07"/>
    <w:rsid w:val="00E151A8"/>
    <w:rsid w:val="00E25DF2"/>
    <w:rsid w:val="00E26187"/>
    <w:rsid w:val="00E3795F"/>
    <w:rsid w:val="00E416E5"/>
    <w:rsid w:val="00E42A31"/>
    <w:rsid w:val="00E457EA"/>
    <w:rsid w:val="00E61C95"/>
    <w:rsid w:val="00E61CC0"/>
    <w:rsid w:val="00E62E93"/>
    <w:rsid w:val="00E72341"/>
    <w:rsid w:val="00E763EA"/>
    <w:rsid w:val="00E81CC3"/>
    <w:rsid w:val="00E9000E"/>
    <w:rsid w:val="00E90E94"/>
    <w:rsid w:val="00EA3035"/>
    <w:rsid w:val="00EC74DF"/>
    <w:rsid w:val="00EE1A94"/>
    <w:rsid w:val="00EF69A5"/>
    <w:rsid w:val="00F12AA1"/>
    <w:rsid w:val="00F6502F"/>
    <w:rsid w:val="00F94887"/>
    <w:rsid w:val="00F94A0C"/>
    <w:rsid w:val="00FA5517"/>
    <w:rsid w:val="00FA72F6"/>
    <w:rsid w:val="00FB5EB8"/>
    <w:rsid w:val="00FE231E"/>
    <w:rsid w:val="00FE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10E628-AB46-46FA-A69A-B4D8562C1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5CC"/>
    <w:pPr>
      <w:spacing w:after="0" w:line="240" w:lineRule="auto"/>
      <w:jc w:val="both"/>
    </w:pPr>
    <w:rPr>
      <w:rFonts w:ascii="Times New Roman" w:eastAsia="Calibri" w:hAnsi="Times New Roman" w:cs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rsid w:val="00C105D5"/>
    <w:rPr>
      <w:rFonts w:ascii="Times New Roman" w:eastAsia="Calibri" w:hAnsi="Times New Roman" w:cs="Times New Roman"/>
      <w:bCs/>
      <w:sz w:val="28"/>
      <w:szCs w:val="28"/>
    </w:rPr>
  </w:style>
  <w:style w:type="paragraph" w:styleId="a4">
    <w:name w:val="header"/>
    <w:basedOn w:val="a"/>
    <w:link w:val="a3"/>
    <w:uiPriority w:val="99"/>
    <w:semiHidden/>
    <w:unhideWhenUsed/>
    <w:rsid w:val="00C105D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6"/>
    <w:uiPriority w:val="99"/>
    <w:semiHidden/>
    <w:rsid w:val="00C105D5"/>
    <w:rPr>
      <w:rFonts w:ascii="Times New Roman" w:eastAsia="Calibri" w:hAnsi="Times New Roman" w:cs="Times New Roman"/>
      <w:bCs/>
      <w:sz w:val="28"/>
      <w:szCs w:val="28"/>
    </w:rPr>
  </w:style>
  <w:style w:type="paragraph" w:styleId="a6">
    <w:name w:val="footer"/>
    <w:basedOn w:val="a"/>
    <w:link w:val="a5"/>
    <w:uiPriority w:val="99"/>
    <w:semiHidden/>
    <w:unhideWhenUsed/>
    <w:rsid w:val="00C105D5"/>
    <w:pPr>
      <w:tabs>
        <w:tab w:val="center" w:pos="4677"/>
        <w:tab w:val="right" w:pos="9355"/>
      </w:tabs>
    </w:pPr>
  </w:style>
  <w:style w:type="character" w:styleId="a7">
    <w:name w:val="line number"/>
    <w:basedOn w:val="a0"/>
    <w:uiPriority w:val="99"/>
    <w:semiHidden/>
    <w:unhideWhenUsed/>
    <w:rsid w:val="00CA6181"/>
  </w:style>
  <w:style w:type="numbering" w:customStyle="1" w:styleId="1">
    <w:name w:val="Нет списка1"/>
    <w:next w:val="a2"/>
    <w:uiPriority w:val="99"/>
    <w:semiHidden/>
    <w:unhideWhenUsed/>
    <w:rsid w:val="003E5262"/>
  </w:style>
  <w:style w:type="paragraph" w:styleId="a8">
    <w:name w:val="Balloon Text"/>
    <w:basedOn w:val="a"/>
    <w:link w:val="a9"/>
    <w:uiPriority w:val="99"/>
    <w:semiHidden/>
    <w:unhideWhenUsed/>
    <w:rsid w:val="007C2B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C2B50"/>
    <w:rPr>
      <w:rFonts w:ascii="Tahoma" w:eastAsia="Calibri" w:hAnsi="Tahoma" w:cs="Tahoma"/>
      <w:bCs/>
      <w:sz w:val="16"/>
      <w:szCs w:val="16"/>
    </w:rPr>
  </w:style>
  <w:style w:type="paragraph" w:styleId="aa">
    <w:name w:val="List Paragraph"/>
    <w:basedOn w:val="a"/>
    <w:uiPriority w:val="34"/>
    <w:qFormat/>
    <w:rsid w:val="00E81CC3"/>
    <w:pPr>
      <w:ind w:left="720"/>
      <w:contextualSpacing/>
    </w:pPr>
  </w:style>
  <w:style w:type="table" w:styleId="ab">
    <w:name w:val="Table Grid"/>
    <w:basedOn w:val="a1"/>
    <w:uiPriority w:val="59"/>
    <w:rsid w:val="003E7E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3E7E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E7E2E"/>
    <w:pPr>
      <w:widowControl w:val="0"/>
      <w:autoSpaceDE w:val="0"/>
      <w:autoSpaceDN w:val="0"/>
      <w:adjustRightInd w:val="0"/>
      <w:spacing w:line="317" w:lineRule="exact"/>
      <w:ind w:firstLine="696"/>
    </w:pPr>
    <w:rPr>
      <w:rFonts w:ascii="Arial" w:eastAsia="Times New Roman" w:hAnsi="Arial" w:cs="Arial"/>
      <w:bCs w:val="0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3E7E2E"/>
    <w:pPr>
      <w:jc w:val="left"/>
    </w:pPr>
    <w:rPr>
      <w:rFonts w:eastAsia="Times New Roman"/>
      <w:bCs w:val="0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3E7E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3E7E2E"/>
    <w:rPr>
      <w:vertAlign w:val="superscript"/>
    </w:rPr>
  </w:style>
  <w:style w:type="paragraph" w:styleId="af0">
    <w:name w:val="Body Text Indent"/>
    <w:basedOn w:val="a"/>
    <w:link w:val="af1"/>
    <w:rsid w:val="003E7E2E"/>
    <w:pPr>
      <w:ind w:firstLine="360"/>
    </w:pPr>
    <w:rPr>
      <w:rFonts w:eastAsia="Times New Roman"/>
      <w:bCs w:val="0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3E7E2E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"Каустик"</Company>
  <LinksUpToDate>false</LinksUpToDate>
  <CharactersWithSpaces>10482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kinzyakayev</dc:creator>
  <cp:lastModifiedBy>Ганиев Руслан Фагимович</cp:lastModifiedBy>
  <cp:revision>4</cp:revision>
  <cp:lastPrinted>2021-03-04T09:52:00Z</cp:lastPrinted>
  <dcterms:created xsi:type="dcterms:W3CDTF">2024-02-05T09:28:00Z</dcterms:created>
  <dcterms:modified xsi:type="dcterms:W3CDTF">2024-02-05T09:42:00Z</dcterms:modified>
</cp:coreProperties>
</file>